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39E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default"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附件2</w:t>
      </w:r>
    </w:p>
    <w:p w14:paraId="26BD29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default" w:ascii="仿宋_GB2312" w:hAnsi="仿宋_GB2312" w:eastAsia="仿宋_GB2312" w:cs="仿宋_GB2312"/>
          <w:i w:val="0"/>
          <w:iCs w:val="0"/>
          <w:caps w:val="0"/>
          <w:color w:val="000000"/>
          <w:spacing w:val="0"/>
          <w:sz w:val="32"/>
          <w:szCs w:val="32"/>
          <w:lang w:val="en-US" w:eastAsia="zh-CN"/>
        </w:rPr>
      </w:pPr>
    </w:p>
    <w:p w14:paraId="584B57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新丰县</w:t>
      </w:r>
      <w:r>
        <w:rPr>
          <w:rFonts w:hint="eastAsia" w:ascii="方正小标宋简体" w:hAnsi="方正小标宋简体" w:eastAsia="方正小标宋简体" w:cs="方正小标宋简体"/>
          <w:i w:val="0"/>
          <w:iCs w:val="0"/>
          <w:caps w:val="0"/>
          <w:color w:val="000000"/>
          <w:spacing w:val="0"/>
          <w:sz w:val="44"/>
          <w:szCs w:val="44"/>
          <w:shd w:val="clear" w:fill="FFFFFF"/>
        </w:rPr>
        <w:t>烟花爆竹经营（零售）店（点）</w:t>
      </w:r>
    </w:p>
    <w:p w14:paraId="2E681B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rPr>
        <w:t>布点规划方案</w:t>
      </w:r>
    </w:p>
    <w:p w14:paraId="51CEB8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left"/>
        <w:textAlignment w:val="auto"/>
        <w:rPr>
          <w:rFonts w:hint="eastAsia" w:ascii="仿宋_GB2312" w:hAnsi="仿宋_GB2312" w:eastAsia="仿宋_GB2312" w:cs="仿宋_GB2312"/>
          <w:i w:val="0"/>
          <w:iCs w:val="0"/>
          <w:caps w:val="0"/>
          <w:color w:val="000000"/>
          <w:spacing w:val="0"/>
          <w:sz w:val="32"/>
          <w:szCs w:val="32"/>
        </w:rPr>
      </w:pPr>
    </w:p>
    <w:p w14:paraId="62F643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为进一步加强</w:t>
      </w:r>
      <w:r>
        <w:rPr>
          <w:rFonts w:hint="eastAsia" w:ascii="仿宋_GB2312" w:hAnsi="仿宋_GB2312" w:eastAsia="仿宋_GB2312" w:cs="仿宋_GB2312"/>
          <w:i w:val="0"/>
          <w:iCs w:val="0"/>
          <w:caps w:val="0"/>
          <w:color w:val="000000"/>
          <w:spacing w:val="0"/>
          <w:sz w:val="32"/>
          <w:szCs w:val="32"/>
          <w:shd w:val="clear" w:fill="FFFFFF"/>
          <w:lang w:val="en-US" w:eastAsia="zh-CN"/>
        </w:rPr>
        <w:t>全县</w:t>
      </w:r>
      <w:r>
        <w:rPr>
          <w:rFonts w:hint="eastAsia" w:ascii="仿宋_GB2312" w:hAnsi="仿宋_GB2312" w:eastAsia="仿宋_GB2312" w:cs="仿宋_GB2312"/>
          <w:i w:val="0"/>
          <w:iCs w:val="0"/>
          <w:caps w:val="0"/>
          <w:color w:val="000000"/>
          <w:spacing w:val="0"/>
          <w:sz w:val="32"/>
          <w:szCs w:val="32"/>
          <w:shd w:val="clear" w:fill="FFFFFF"/>
        </w:rPr>
        <w:t>烟花爆竹经营（零售）安全，规范烟花爆竹经营（零售）店（点）（以下简称“零售点”）安全条件和经营行为，做好烟花爆竹经营（零售）许可证颁发和管理工作，进一步推进烟花爆竹经营（零售）属地管理，科学构建</w:t>
      </w:r>
      <w:r>
        <w:rPr>
          <w:rFonts w:hint="eastAsia" w:ascii="仿宋_GB2312" w:hAnsi="仿宋_GB2312" w:eastAsia="仿宋_GB2312" w:cs="仿宋_GB2312"/>
          <w:i w:val="0"/>
          <w:iCs w:val="0"/>
          <w:caps w:val="0"/>
          <w:color w:val="000000"/>
          <w:spacing w:val="0"/>
          <w:sz w:val="32"/>
          <w:szCs w:val="32"/>
          <w:shd w:val="clear" w:fill="FFFFFF"/>
          <w:lang w:val="en-US" w:eastAsia="zh-CN"/>
        </w:rPr>
        <w:t>我县</w:t>
      </w:r>
      <w:r>
        <w:rPr>
          <w:rFonts w:hint="eastAsia" w:ascii="仿宋_GB2312" w:hAnsi="仿宋_GB2312" w:eastAsia="仿宋_GB2312" w:cs="仿宋_GB2312"/>
          <w:i w:val="0"/>
          <w:iCs w:val="0"/>
          <w:caps w:val="0"/>
          <w:color w:val="000000"/>
          <w:spacing w:val="0"/>
          <w:sz w:val="32"/>
          <w:szCs w:val="32"/>
          <w:shd w:val="clear" w:fill="FFFFFF"/>
        </w:rPr>
        <w:t>烟花爆竹经营（零售）网络，建立安全、规范、稳定、有序的烟花爆竹经营（零售）秩序，结合</w:t>
      </w:r>
      <w:r>
        <w:rPr>
          <w:rFonts w:hint="eastAsia" w:ascii="仿宋_GB2312" w:hAnsi="仿宋_GB2312" w:eastAsia="仿宋_GB2312" w:cs="仿宋_GB2312"/>
          <w:i w:val="0"/>
          <w:iCs w:val="0"/>
          <w:caps w:val="0"/>
          <w:color w:val="000000"/>
          <w:spacing w:val="0"/>
          <w:sz w:val="32"/>
          <w:szCs w:val="32"/>
          <w:shd w:val="clear" w:fill="FFFFFF"/>
          <w:lang w:val="en-US" w:eastAsia="zh-CN"/>
        </w:rPr>
        <w:t>我县</w:t>
      </w:r>
      <w:r>
        <w:rPr>
          <w:rFonts w:hint="eastAsia" w:ascii="仿宋_GB2312" w:hAnsi="仿宋_GB2312" w:eastAsia="仿宋_GB2312" w:cs="仿宋_GB2312"/>
          <w:i w:val="0"/>
          <w:iCs w:val="0"/>
          <w:caps w:val="0"/>
          <w:color w:val="000000"/>
          <w:spacing w:val="0"/>
          <w:sz w:val="32"/>
          <w:szCs w:val="32"/>
          <w:shd w:val="clear" w:fill="FFFFFF"/>
        </w:rPr>
        <w:t>烟花爆竹经营状况，特制定本方案。</w:t>
      </w:r>
    </w:p>
    <w:p w14:paraId="0C3D4B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一、法律依据</w:t>
      </w:r>
    </w:p>
    <w:p w14:paraId="5BDDFA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《烟花爆竹安全管理条例》（国务院令第</w:t>
      </w:r>
      <w:r>
        <w:rPr>
          <w:rFonts w:hint="eastAsia" w:ascii="仿宋_GB2312" w:hAnsi="仿宋_GB2312" w:eastAsia="仿宋_GB2312" w:cs="仿宋_GB2312"/>
          <w:i w:val="0"/>
          <w:iCs w:val="0"/>
          <w:caps w:val="0"/>
          <w:color w:val="000000"/>
          <w:spacing w:val="0"/>
          <w:sz w:val="32"/>
          <w:szCs w:val="32"/>
          <w:shd w:val="clear" w:fill="FFFFFF"/>
          <w:lang w:val="en-US" w:eastAsia="zh-CN"/>
        </w:rPr>
        <w:t>666</w:t>
      </w:r>
      <w:r>
        <w:rPr>
          <w:rFonts w:hint="eastAsia" w:ascii="仿宋_GB2312" w:hAnsi="仿宋_GB2312" w:eastAsia="仿宋_GB2312" w:cs="仿宋_GB2312"/>
          <w:i w:val="0"/>
          <w:iCs w:val="0"/>
          <w:caps w:val="0"/>
          <w:color w:val="000000"/>
          <w:spacing w:val="0"/>
          <w:sz w:val="32"/>
          <w:szCs w:val="32"/>
          <w:shd w:val="clear" w:fill="FFFFFF"/>
        </w:rPr>
        <w:t>号）</w:t>
      </w:r>
    </w:p>
    <w:p w14:paraId="1B5697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《烟花爆竹经营许可实施办法》（原国家安监总局令第65号）</w:t>
      </w:r>
    </w:p>
    <w:p w14:paraId="19D312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《烟花爆竹生产经营安全规定》（原国家安全生产监督管理总局令第93号）</w:t>
      </w:r>
    </w:p>
    <w:p w14:paraId="5DF03C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4</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《广东省安全生产监督管理局关于烟花爆竹经营许可的实施细则》（粤安监〔2014〕44号）</w:t>
      </w:r>
    </w:p>
    <w:p w14:paraId="75B5C7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5.《广东省安全生产监督管理局关于修改&lt;广东省安全生产监督管理局烟花爆竹经营许可实施细则&gt;部分条款的通知》（粤安监〔2015〕23号）</w:t>
      </w:r>
    </w:p>
    <w:p w14:paraId="0D0B03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.《烟花爆竹零售店（点）安全技术规范》（AQ4128-2019）</w:t>
      </w:r>
    </w:p>
    <w:p w14:paraId="42B0AE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7</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lang w:val="en-US" w:eastAsia="zh-CN"/>
        </w:rPr>
        <w:t>.新丰县</w:t>
      </w:r>
      <w:r>
        <w:rPr>
          <w:rFonts w:hint="eastAsia" w:ascii="仿宋_GB2312" w:hAnsi="仿宋_GB2312" w:eastAsia="仿宋_GB2312" w:cs="仿宋_GB2312"/>
          <w:i w:val="0"/>
          <w:iCs w:val="0"/>
          <w:caps w:val="0"/>
          <w:color w:val="000000"/>
          <w:spacing w:val="0"/>
          <w:sz w:val="32"/>
          <w:szCs w:val="32"/>
          <w:shd w:val="clear" w:fill="FFFFFF"/>
        </w:rPr>
        <w:t>人民政府关于销售燃放烟花爆竹的相关文件</w:t>
      </w:r>
    </w:p>
    <w:p w14:paraId="4D65E2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二、规划布点目的</w:t>
      </w:r>
    </w:p>
    <w:p w14:paraId="371A51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规范市场经营秩序，严格控制总量，合理优化布局，逐步建立起与我</w:t>
      </w:r>
      <w:r>
        <w:rPr>
          <w:rFonts w:hint="eastAsia" w:ascii="仿宋_GB2312" w:hAnsi="仿宋_GB2312" w:eastAsia="仿宋_GB2312" w:cs="仿宋_GB2312"/>
          <w:i w:val="0"/>
          <w:iCs w:val="0"/>
          <w:caps w:val="0"/>
          <w:color w:val="000000"/>
          <w:spacing w:val="0"/>
          <w:sz w:val="32"/>
          <w:szCs w:val="32"/>
          <w:shd w:val="clear" w:fill="FFFFFF"/>
          <w:lang w:val="en-US" w:eastAsia="zh-CN"/>
        </w:rPr>
        <w:t>县</w:t>
      </w:r>
      <w:r>
        <w:rPr>
          <w:rFonts w:hint="eastAsia" w:ascii="仿宋_GB2312" w:hAnsi="仿宋_GB2312" w:eastAsia="仿宋_GB2312" w:cs="仿宋_GB2312"/>
          <w:i w:val="0"/>
          <w:iCs w:val="0"/>
          <w:caps w:val="0"/>
          <w:color w:val="000000"/>
          <w:spacing w:val="0"/>
          <w:sz w:val="32"/>
          <w:szCs w:val="32"/>
          <w:shd w:val="clear" w:fill="FFFFFF"/>
        </w:rPr>
        <w:t>经济社会发展需求相适应、布局合理、竞争有序、安全方便、满足消费需求的烟花爆竹零售点体系，确保经营安全，严防事故发生。</w:t>
      </w:r>
    </w:p>
    <w:p w14:paraId="284FB1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三、规划布点原则</w:t>
      </w:r>
    </w:p>
    <w:p w14:paraId="1D9421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坚持“安全第一、预防为主、综合治理”的方针，按照“保障安全、统一规划、合理布局、总量控制、适度竞争、有利管理”的原则，通过烟花爆竹零售点布点规划的实施落实，使烟花爆竹零售点布点更加科学合理，更加符合安全要求，构建烟花爆竹安全经营的长效机制。</w:t>
      </w:r>
    </w:p>
    <w:p w14:paraId="55AA47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四、具体规划</w:t>
      </w:r>
    </w:p>
    <w:p w14:paraId="0F1F07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楷体_GB2312" w:hAnsi="楷体_GB2312" w:eastAsia="楷体_GB2312" w:cs="楷体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shd w:val="clear" w:fill="FFFFFF"/>
        </w:rPr>
        <w:t>（一）布点区域</w:t>
      </w:r>
    </w:p>
    <w:p w14:paraId="5201A6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我</w:t>
      </w:r>
      <w:r>
        <w:rPr>
          <w:rFonts w:hint="eastAsia" w:ascii="仿宋_GB2312" w:hAnsi="仿宋_GB2312" w:eastAsia="仿宋_GB2312" w:cs="仿宋_GB2312"/>
          <w:i w:val="0"/>
          <w:iCs w:val="0"/>
          <w:caps w:val="0"/>
          <w:color w:val="auto"/>
          <w:spacing w:val="0"/>
          <w:sz w:val="32"/>
          <w:szCs w:val="32"/>
          <w:shd w:val="clear" w:fill="FFFFFF"/>
          <w:lang w:val="en-US" w:eastAsia="zh-CN"/>
        </w:rPr>
        <w:t>县</w:t>
      </w:r>
      <w:r>
        <w:rPr>
          <w:rFonts w:hint="eastAsia" w:ascii="仿宋_GB2312" w:hAnsi="仿宋_GB2312" w:eastAsia="仿宋_GB2312" w:cs="仿宋_GB2312"/>
          <w:i w:val="0"/>
          <w:iCs w:val="0"/>
          <w:caps w:val="0"/>
          <w:color w:val="auto"/>
          <w:spacing w:val="0"/>
          <w:sz w:val="32"/>
          <w:szCs w:val="32"/>
          <w:shd w:val="clear" w:fill="FFFFFF"/>
        </w:rPr>
        <w:t>审批的烟花爆竹零售点</w:t>
      </w:r>
      <w:r>
        <w:rPr>
          <w:rFonts w:hint="eastAsia" w:ascii="仿宋_GB2312" w:hAnsi="仿宋_GB2312" w:eastAsia="仿宋_GB2312" w:cs="仿宋_GB2312"/>
          <w:i w:val="0"/>
          <w:iCs w:val="0"/>
          <w:caps w:val="0"/>
          <w:color w:val="auto"/>
          <w:spacing w:val="0"/>
          <w:sz w:val="32"/>
          <w:szCs w:val="32"/>
          <w:shd w:val="clear" w:fill="FFFFFF"/>
          <w:lang w:val="en-US" w:eastAsia="zh-CN"/>
        </w:rPr>
        <w:t>为新丰县</w:t>
      </w:r>
      <w:r>
        <w:rPr>
          <w:rFonts w:hint="eastAsia" w:ascii="仿宋_GB2312" w:hAnsi="仿宋_GB2312" w:eastAsia="仿宋_GB2312" w:cs="仿宋_GB2312"/>
          <w:i w:val="0"/>
          <w:iCs w:val="0"/>
          <w:caps w:val="0"/>
          <w:color w:val="auto"/>
          <w:spacing w:val="0"/>
          <w:sz w:val="32"/>
          <w:szCs w:val="32"/>
          <w:shd w:val="clear" w:fill="FFFFFF"/>
        </w:rPr>
        <w:t>行政区域</w:t>
      </w:r>
      <w:r>
        <w:rPr>
          <w:rFonts w:hint="eastAsia" w:ascii="仿宋_GB2312" w:hAnsi="仿宋_GB2312" w:eastAsia="仿宋_GB2312" w:cs="仿宋_GB2312"/>
          <w:i w:val="0"/>
          <w:iCs w:val="0"/>
          <w:caps w:val="0"/>
          <w:color w:val="auto"/>
          <w:spacing w:val="0"/>
          <w:sz w:val="32"/>
          <w:szCs w:val="32"/>
          <w:shd w:val="clear" w:fill="FFFFFF"/>
          <w:lang w:val="en-US" w:eastAsia="zh-CN"/>
        </w:rPr>
        <w:t>内</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新丰县人民政府公布禁止燃放烟花爆竹的区域</w:t>
      </w:r>
      <w:r>
        <w:rPr>
          <w:rFonts w:hint="eastAsia" w:ascii="仿宋_GB2312" w:hAnsi="仿宋_GB2312" w:eastAsia="仿宋_GB2312" w:cs="仿宋_GB2312"/>
          <w:i w:val="0"/>
          <w:iCs w:val="0"/>
          <w:caps w:val="0"/>
          <w:color w:val="auto"/>
          <w:spacing w:val="0"/>
          <w:sz w:val="32"/>
          <w:szCs w:val="32"/>
          <w:shd w:val="clear" w:fill="FFFFFF"/>
        </w:rPr>
        <w:t>内不</w:t>
      </w:r>
      <w:r>
        <w:rPr>
          <w:rFonts w:hint="eastAsia" w:ascii="仿宋_GB2312" w:hAnsi="仿宋_GB2312" w:eastAsia="仿宋_GB2312" w:cs="仿宋_GB2312"/>
          <w:i w:val="0"/>
          <w:iCs w:val="0"/>
          <w:caps w:val="0"/>
          <w:color w:val="auto"/>
          <w:spacing w:val="0"/>
          <w:sz w:val="32"/>
          <w:szCs w:val="32"/>
          <w:shd w:val="clear" w:fill="FFFFFF"/>
          <w:lang w:val="en-US" w:eastAsia="zh-CN"/>
        </w:rPr>
        <w:t>得</w:t>
      </w:r>
      <w:r>
        <w:rPr>
          <w:rFonts w:hint="eastAsia" w:ascii="仿宋_GB2312" w:hAnsi="仿宋_GB2312" w:eastAsia="仿宋_GB2312" w:cs="仿宋_GB2312"/>
          <w:i w:val="0"/>
          <w:iCs w:val="0"/>
          <w:caps w:val="0"/>
          <w:color w:val="auto"/>
          <w:spacing w:val="0"/>
          <w:sz w:val="32"/>
          <w:szCs w:val="32"/>
          <w:shd w:val="clear" w:fill="FFFFFF"/>
        </w:rPr>
        <w:t>设置烟花爆竹零售点。</w:t>
      </w:r>
    </w:p>
    <w:p w14:paraId="2D0C77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3975"/>
        </w:tabs>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sz w:val="32"/>
          <w:szCs w:val="32"/>
          <w:shd w:val="clear" w:fill="FFFFFF"/>
        </w:rPr>
        <w:t>（二）设点数量</w:t>
      </w:r>
      <w:r>
        <w:rPr>
          <w:rFonts w:hint="eastAsia" w:ascii="楷体_GB2312" w:hAnsi="楷体_GB2312" w:eastAsia="楷体_GB2312" w:cs="楷体_GB2312"/>
          <w:i w:val="0"/>
          <w:iCs w:val="0"/>
          <w:caps w:val="0"/>
          <w:color w:val="auto"/>
          <w:spacing w:val="0"/>
          <w:sz w:val="32"/>
          <w:szCs w:val="32"/>
          <w:shd w:val="clear" w:fill="FFFFFF"/>
          <w:lang w:eastAsia="zh-CN"/>
        </w:rPr>
        <w:tab/>
      </w:r>
    </w:p>
    <w:p w14:paraId="64C553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根据保障安全、总量控制、合理布局的原则，综合全</w:t>
      </w:r>
      <w:r>
        <w:rPr>
          <w:rFonts w:hint="eastAsia" w:ascii="仿宋_GB2312" w:hAnsi="仿宋_GB2312" w:eastAsia="仿宋_GB2312" w:cs="仿宋_GB2312"/>
          <w:i w:val="0"/>
          <w:iCs w:val="0"/>
          <w:caps w:val="0"/>
          <w:color w:val="auto"/>
          <w:spacing w:val="0"/>
          <w:sz w:val="32"/>
          <w:szCs w:val="32"/>
          <w:shd w:val="clear" w:fill="FFFFFF"/>
          <w:lang w:val="en-US" w:eastAsia="zh-CN"/>
        </w:rPr>
        <w:t>县</w:t>
      </w:r>
      <w:r>
        <w:rPr>
          <w:rFonts w:hint="eastAsia" w:ascii="仿宋_GB2312" w:hAnsi="仿宋_GB2312" w:eastAsia="仿宋_GB2312" w:cs="仿宋_GB2312"/>
          <w:i w:val="0"/>
          <w:iCs w:val="0"/>
          <w:caps w:val="0"/>
          <w:color w:val="auto"/>
          <w:spacing w:val="0"/>
          <w:sz w:val="32"/>
          <w:szCs w:val="32"/>
          <w:shd w:val="clear" w:fill="FFFFFF"/>
        </w:rPr>
        <w:t>各镇（街）的</w:t>
      </w:r>
      <w:r>
        <w:rPr>
          <w:rFonts w:hint="eastAsia" w:ascii="仿宋_GB2312" w:hAnsi="仿宋_GB2312" w:eastAsia="仿宋_GB2312" w:cs="仿宋_GB2312"/>
          <w:i w:val="0"/>
          <w:iCs w:val="0"/>
          <w:caps w:val="0"/>
          <w:color w:val="auto"/>
          <w:spacing w:val="0"/>
          <w:sz w:val="32"/>
          <w:szCs w:val="32"/>
          <w:shd w:val="clear" w:fill="FFFFFF"/>
          <w:lang w:val="en-US" w:eastAsia="zh-CN"/>
        </w:rPr>
        <w:t>户籍</w:t>
      </w:r>
      <w:r>
        <w:rPr>
          <w:rFonts w:hint="eastAsia" w:ascii="仿宋_GB2312" w:hAnsi="仿宋_GB2312" w:eastAsia="仿宋_GB2312" w:cs="仿宋_GB2312"/>
          <w:i w:val="0"/>
          <w:iCs w:val="0"/>
          <w:caps w:val="0"/>
          <w:color w:val="auto"/>
          <w:spacing w:val="0"/>
          <w:sz w:val="32"/>
          <w:szCs w:val="32"/>
          <w:shd w:val="clear" w:fill="FFFFFF"/>
        </w:rPr>
        <w:t>人口分布、地区特点等因素，确定全</w:t>
      </w:r>
      <w:r>
        <w:rPr>
          <w:rFonts w:hint="eastAsia" w:ascii="仿宋_GB2312" w:hAnsi="仿宋_GB2312" w:eastAsia="仿宋_GB2312" w:cs="仿宋_GB2312"/>
          <w:i w:val="0"/>
          <w:iCs w:val="0"/>
          <w:caps w:val="0"/>
          <w:color w:val="auto"/>
          <w:spacing w:val="0"/>
          <w:sz w:val="32"/>
          <w:szCs w:val="32"/>
          <w:shd w:val="clear" w:fill="FFFFFF"/>
          <w:lang w:val="en-US" w:eastAsia="zh-CN"/>
        </w:rPr>
        <w:t>县</w:t>
      </w:r>
      <w:r>
        <w:rPr>
          <w:rFonts w:hint="eastAsia" w:ascii="仿宋_GB2312" w:hAnsi="仿宋_GB2312" w:eastAsia="仿宋_GB2312" w:cs="仿宋_GB2312"/>
          <w:i w:val="0"/>
          <w:iCs w:val="0"/>
          <w:caps w:val="0"/>
          <w:color w:val="auto"/>
          <w:spacing w:val="0"/>
          <w:sz w:val="32"/>
          <w:szCs w:val="32"/>
          <w:shd w:val="clear" w:fill="FFFFFF"/>
        </w:rPr>
        <w:t>烟花爆竹零售点</w:t>
      </w:r>
      <w:r>
        <w:rPr>
          <w:rFonts w:hint="eastAsia" w:ascii="仿宋_GB2312" w:hAnsi="仿宋_GB2312" w:eastAsia="仿宋_GB2312" w:cs="仿宋_GB2312"/>
          <w:i w:val="0"/>
          <w:iCs w:val="0"/>
          <w:caps w:val="0"/>
          <w:color w:val="auto"/>
          <w:spacing w:val="0"/>
          <w:sz w:val="32"/>
          <w:szCs w:val="32"/>
          <w:shd w:val="clear" w:fill="FFFFFF"/>
          <w:lang w:val="en-US" w:eastAsia="zh-CN"/>
        </w:rPr>
        <w:t>规划布点不超过60</w:t>
      </w:r>
      <w:r>
        <w:rPr>
          <w:rFonts w:hint="eastAsia" w:ascii="仿宋_GB2312" w:hAnsi="仿宋_GB2312" w:eastAsia="仿宋_GB2312" w:cs="仿宋_GB2312"/>
          <w:i w:val="0"/>
          <w:iCs w:val="0"/>
          <w:caps w:val="0"/>
          <w:color w:val="auto"/>
          <w:spacing w:val="0"/>
          <w:sz w:val="32"/>
          <w:szCs w:val="32"/>
          <w:shd w:val="clear" w:fill="FFFFFF"/>
        </w:rPr>
        <w:t>家（详见附件）</w:t>
      </w:r>
      <w:r>
        <w:rPr>
          <w:rFonts w:hint="eastAsia" w:ascii="仿宋_GB2312" w:hAnsi="仿宋_GB2312" w:eastAsia="仿宋_GB2312" w:cs="仿宋_GB2312"/>
          <w:i w:val="0"/>
          <w:iCs w:val="0"/>
          <w:caps w:val="0"/>
          <w:color w:val="auto"/>
          <w:spacing w:val="0"/>
          <w:sz w:val="32"/>
          <w:szCs w:val="32"/>
          <w:shd w:val="clear" w:fill="FFFFFF"/>
          <w:lang w:eastAsia="zh-CN"/>
        </w:rPr>
        <w:t>，经营品种为烟花</w:t>
      </w:r>
      <w:r>
        <w:rPr>
          <w:rFonts w:hint="eastAsia" w:ascii="仿宋_GB2312" w:hAnsi="仿宋_GB2312" w:eastAsia="仿宋_GB2312" w:cs="仿宋_GB2312"/>
          <w:i w:val="0"/>
          <w:iCs w:val="0"/>
          <w:caps w:val="0"/>
          <w:color w:val="auto"/>
          <w:spacing w:val="0"/>
          <w:sz w:val="32"/>
          <w:szCs w:val="32"/>
          <w:shd w:val="clear" w:fill="FFFFFF"/>
          <w:lang w:val="en-US" w:eastAsia="zh-CN"/>
        </w:rPr>
        <w:t>C、D级，爆竹C级</w:t>
      </w:r>
      <w:r>
        <w:rPr>
          <w:rFonts w:hint="eastAsia" w:ascii="仿宋_GB2312" w:hAnsi="仿宋_GB2312" w:eastAsia="仿宋_GB2312" w:cs="仿宋_GB2312"/>
          <w:i w:val="0"/>
          <w:iCs w:val="0"/>
          <w:caps w:val="0"/>
          <w:color w:val="auto"/>
          <w:spacing w:val="0"/>
          <w:sz w:val="32"/>
          <w:szCs w:val="32"/>
          <w:shd w:val="clear" w:fill="FFFFFF"/>
        </w:rPr>
        <w:t>。</w:t>
      </w:r>
    </w:p>
    <w:p w14:paraId="26BAD6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五、设点条件</w:t>
      </w:r>
    </w:p>
    <w:p w14:paraId="414362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（一）选址及外部距离要求</w:t>
      </w:r>
    </w:p>
    <w:p w14:paraId="1AAEC0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1.原则上每1000户人口的区域设置经营零售点不超过2个，且相邻零售点之间距离不小于50米；采用临时建筑物，及两个烟花爆竹零售点之间门、窗等洞口直接相对时，两个烟花爆竹零售店（点）之间最小允许距离为80米</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E904D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2.应选择在消防车辆可以顺畅到达的区域；</w:t>
      </w:r>
    </w:p>
    <w:p w14:paraId="100869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3.不应设置在军事管理区、文物保护区等禁止燃放烟花爆竹区域内；</w:t>
      </w:r>
    </w:p>
    <w:p w14:paraId="20E2F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4.不应设置在居民集中居住小区内，以及桥下与涵洞内；</w:t>
      </w:r>
    </w:p>
    <w:p w14:paraId="070A2D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5.不应与居住场所设置在同一建筑物内，不应设置在地下及半地下室内；</w:t>
      </w:r>
    </w:p>
    <w:p w14:paraId="7E907B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6.不应设置在其地下、室内或上方有输送石油、天然气等易燃易爆物质管道的建筑物内；</w:t>
      </w:r>
    </w:p>
    <w:p w14:paraId="61942E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7.不应设置在电压高于1kV的电力线路下方；</w:t>
      </w:r>
    </w:p>
    <w:p w14:paraId="14B903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8.与220kV 及以上的区域变电站围墙和220kV 以上的架空输电线路距离不少于50米；</w:t>
      </w:r>
    </w:p>
    <w:p w14:paraId="7ABFDF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rPr>
        <w:t>9.与学校，医院，幼儿园，养老院，集贸市场，文物古迹，博物馆，展览馆，档案馆，图书馆，危险品生产、储存及加油站、加气站等易燃易爆场所边缘距离不少于100米</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608C49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（二）面积要求</w:t>
      </w:r>
    </w:p>
    <w:p w14:paraId="7B75E2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default" w:ascii="仿宋_GB2312" w:hAnsi="仿宋_GB2312" w:eastAsia="仿宋_GB2312" w:cs="仿宋_GB2312"/>
          <w:i w:val="0"/>
          <w:iCs w:val="0"/>
          <w:caps w:val="0"/>
          <w:color w:val="000000"/>
          <w:spacing w:val="0"/>
          <w:sz w:val="32"/>
          <w:szCs w:val="32"/>
          <w:vertAlign w:val="subscript"/>
          <w:lang w:val="en-US" w:eastAsia="zh-CN"/>
        </w:rPr>
      </w:pPr>
      <w:r>
        <w:rPr>
          <w:rFonts w:hint="eastAsia" w:ascii="仿宋_GB2312" w:hAnsi="仿宋_GB2312" w:eastAsia="仿宋_GB2312" w:cs="仿宋_GB2312"/>
          <w:i w:val="0"/>
          <w:iCs w:val="0"/>
          <w:caps w:val="0"/>
          <w:color w:val="000000"/>
          <w:spacing w:val="0"/>
          <w:sz w:val="32"/>
          <w:szCs w:val="32"/>
          <w:shd w:val="clear" w:fill="FFFFFF"/>
        </w:rPr>
        <w:t>烟花爆竹零售点的使用面积不应小于10m</w:t>
      </w:r>
      <w:r>
        <w:rPr>
          <w:rFonts w:hint="eastAsia" w:ascii="仿宋_GB2312" w:hAnsi="仿宋_GB2312" w:eastAsia="仿宋_GB2312" w:cs="仿宋_GB2312"/>
          <w:i w:val="0"/>
          <w:iCs w:val="0"/>
          <w:caps w:val="0"/>
          <w:color w:val="000000"/>
          <w:spacing w:val="0"/>
          <w:sz w:val="32"/>
          <w:szCs w:val="32"/>
          <w:shd w:val="clear" w:fill="FFFFFF"/>
          <w:vertAlign w:val="superscript"/>
        </w:rPr>
        <w:t>2</w:t>
      </w:r>
      <w:r>
        <w:rPr>
          <w:rFonts w:hint="eastAsia" w:ascii="仿宋_GB2312" w:hAnsi="仿宋_GB2312" w:eastAsia="仿宋_GB2312" w:cs="仿宋_GB2312"/>
          <w:i w:val="0"/>
          <w:iCs w:val="0"/>
          <w:caps w:val="0"/>
          <w:color w:val="000000"/>
          <w:spacing w:val="0"/>
          <w:sz w:val="32"/>
          <w:szCs w:val="32"/>
          <w:shd w:val="clear" w:fill="FFFFFF"/>
        </w:rPr>
        <w:t>，且不应大于200m</w:t>
      </w:r>
      <w:r>
        <w:rPr>
          <w:rFonts w:hint="eastAsia" w:ascii="仿宋_GB2312" w:hAnsi="仿宋_GB2312" w:eastAsia="仿宋_GB2312" w:cs="仿宋_GB2312"/>
          <w:i w:val="0"/>
          <w:iCs w:val="0"/>
          <w:caps w:val="0"/>
          <w:color w:val="000000"/>
          <w:spacing w:val="0"/>
          <w:sz w:val="32"/>
          <w:szCs w:val="32"/>
          <w:shd w:val="clear" w:fill="FFFFFF"/>
          <w:vertAlign w:val="superscript"/>
        </w:rPr>
        <w:t>2</w:t>
      </w:r>
      <w:r>
        <w:rPr>
          <w:rFonts w:hint="eastAsia" w:ascii="仿宋_GB2312" w:hAnsi="仿宋_GB2312" w:eastAsia="仿宋_GB2312" w:cs="仿宋_GB2312"/>
          <w:i w:val="0"/>
          <w:iCs w:val="0"/>
          <w:caps w:val="0"/>
          <w:color w:val="000000"/>
          <w:spacing w:val="0"/>
          <w:sz w:val="32"/>
          <w:szCs w:val="32"/>
          <w:shd w:val="clear" w:fill="FFFFFF"/>
          <w:vertAlign w:val="superscript"/>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6541D3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（三）安全条件</w:t>
      </w:r>
    </w:p>
    <w:p w14:paraId="6FD409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1.烟花爆竹零售点内严禁有明火；</w:t>
      </w:r>
    </w:p>
    <w:p w14:paraId="5622DB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2.烟花爆竹零售点应配备5kg及以上的磷酸铵盐干粉灭火器，放置在便于取用位置。使用面积不大于100m</w:t>
      </w:r>
      <w:r>
        <w:rPr>
          <w:rFonts w:hint="eastAsia" w:ascii="仿宋_GB2312" w:hAnsi="仿宋_GB2312" w:eastAsia="仿宋_GB2312" w:cs="仿宋_GB2312"/>
          <w:i w:val="0"/>
          <w:iCs w:val="0"/>
          <w:caps w:val="0"/>
          <w:color w:val="000000"/>
          <w:spacing w:val="0"/>
          <w:sz w:val="32"/>
          <w:szCs w:val="32"/>
          <w:shd w:val="clear" w:fill="FFFFFF"/>
          <w:vertAlign w:val="superscript"/>
        </w:rPr>
        <w:t>2</w:t>
      </w:r>
      <w:r>
        <w:rPr>
          <w:rFonts w:hint="eastAsia" w:ascii="仿宋_GB2312" w:hAnsi="仿宋_GB2312" w:eastAsia="仿宋_GB2312" w:cs="仿宋_GB2312"/>
          <w:i w:val="0"/>
          <w:iCs w:val="0"/>
          <w:caps w:val="0"/>
          <w:color w:val="000000"/>
          <w:spacing w:val="0"/>
          <w:sz w:val="32"/>
          <w:szCs w:val="32"/>
          <w:shd w:val="clear" w:fill="FFFFFF"/>
        </w:rPr>
        <w:t>时，应至少配备2具；使用面积大于100m</w:t>
      </w:r>
      <w:r>
        <w:rPr>
          <w:rFonts w:hint="eastAsia" w:ascii="仿宋_GB2312" w:hAnsi="仿宋_GB2312" w:eastAsia="仿宋_GB2312" w:cs="仿宋_GB2312"/>
          <w:i w:val="0"/>
          <w:iCs w:val="0"/>
          <w:caps w:val="0"/>
          <w:color w:val="000000"/>
          <w:spacing w:val="0"/>
          <w:sz w:val="32"/>
          <w:szCs w:val="32"/>
          <w:shd w:val="clear" w:fill="FFFFFF"/>
          <w:vertAlign w:val="superscript"/>
        </w:rPr>
        <w:t>2</w:t>
      </w:r>
      <w:r>
        <w:rPr>
          <w:rFonts w:hint="eastAsia" w:ascii="仿宋_GB2312" w:hAnsi="仿宋_GB2312" w:eastAsia="仿宋_GB2312" w:cs="仿宋_GB2312"/>
          <w:i w:val="0"/>
          <w:iCs w:val="0"/>
          <w:caps w:val="0"/>
          <w:color w:val="000000"/>
          <w:spacing w:val="0"/>
          <w:sz w:val="32"/>
          <w:szCs w:val="32"/>
          <w:shd w:val="clear" w:fill="FFFFFF"/>
        </w:rPr>
        <w:t>时，应至少配备4具且分为2个设置点；</w:t>
      </w:r>
    </w:p>
    <w:p w14:paraId="772CC4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3.烟花爆竹零售点应张贴明显警示标志、标牌，场所内不应堆放其他杂物；</w:t>
      </w:r>
    </w:p>
    <w:p w14:paraId="6DA352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4.烟花爆竹零售点电器线路要穿钢管敷设，不应有明接头，使用电器设备的，应符合防爆要求；</w:t>
      </w:r>
    </w:p>
    <w:p w14:paraId="0453CB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5.经营场所采用固定建筑物时应符合建筑结构及耐火等级要求。采用临时建筑物时，应独立设置；</w:t>
      </w:r>
    </w:p>
    <w:p w14:paraId="77BF04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以上条件有未明确的，以最新的相关法律、法规、标准规定为准。</w:t>
      </w:r>
    </w:p>
    <w:p w14:paraId="12EFC8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六、其它要求</w:t>
      </w:r>
    </w:p>
    <w:p w14:paraId="7EE228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（一）未取得烟花爆竹经营许可证的，任何单位或者个人不得从事烟花爆竹经营活动。</w:t>
      </w:r>
    </w:p>
    <w:p w14:paraId="320D2B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w:t>
      </w:r>
      <w:r>
        <w:rPr>
          <w:rFonts w:hint="eastAsia" w:ascii="仿宋_GB2312" w:hAnsi="仿宋_GB2312" w:eastAsia="仿宋_GB2312" w:cs="仿宋_GB2312"/>
          <w:i w:val="0"/>
          <w:iCs w:val="0"/>
          <w:caps w:val="0"/>
          <w:color w:val="000000"/>
          <w:spacing w:val="0"/>
          <w:sz w:val="32"/>
          <w:szCs w:val="32"/>
          <w:shd w:val="clear" w:fill="FFFFFF"/>
          <w:lang w:val="en-US" w:eastAsia="zh-CN"/>
        </w:rPr>
        <w:t>县</w:t>
      </w:r>
      <w:r>
        <w:rPr>
          <w:rFonts w:hint="eastAsia" w:ascii="仿宋_GB2312" w:hAnsi="仿宋_GB2312" w:eastAsia="仿宋_GB2312" w:cs="仿宋_GB2312"/>
          <w:i w:val="0"/>
          <w:iCs w:val="0"/>
          <w:caps w:val="0"/>
          <w:color w:val="000000"/>
          <w:spacing w:val="0"/>
          <w:sz w:val="32"/>
          <w:szCs w:val="32"/>
          <w:shd w:val="clear" w:fill="FFFFFF"/>
        </w:rPr>
        <w:t>应急管理局根据各镇（街）总体控制规划指标，按照相关法规和文件要求，</w:t>
      </w:r>
      <w:r>
        <w:rPr>
          <w:rFonts w:hint="eastAsia" w:ascii="仿宋_GB2312" w:hAnsi="仿宋_GB2312" w:eastAsia="仿宋_GB2312" w:cs="仿宋_GB2312"/>
          <w:i w:val="0"/>
          <w:iCs w:val="0"/>
          <w:caps w:val="0"/>
          <w:color w:val="000000"/>
          <w:spacing w:val="0"/>
          <w:sz w:val="32"/>
          <w:szCs w:val="32"/>
          <w:shd w:val="clear" w:fill="FFFFFF"/>
          <w:lang w:val="en-US" w:eastAsia="zh-CN"/>
        </w:rPr>
        <w:t>对申请单位进行现场核查，</w:t>
      </w:r>
      <w:r>
        <w:rPr>
          <w:rFonts w:hint="eastAsia" w:ascii="仿宋_GB2312" w:hAnsi="仿宋_GB2312" w:eastAsia="仿宋_GB2312" w:cs="仿宋_GB2312"/>
          <w:i w:val="0"/>
          <w:iCs w:val="0"/>
          <w:caps w:val="0"/>
          <w:color w:val="000000"/>
          <w:spacing w:val="0"/>
          <w:sz w:val="32"/>
          <w:szCs w:val="32"/>
          <w:shd w:val="clear" w:fill="FFFFFF"/>
        </w:rPr>
        <w:t>作出是否准予行政许可的决定。</w:t>
      </w:r>
    </w:p>
    <w:p w14:paraId="7EF1A3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（三）烟花爆竹经营（零售）许可证的经营范围和有效期限由</w:t>
      </w:r>
      <w:r>
        <w:rPr>
          <w:rFonts w:hint="eastAsia" w:ascii="仿宋_GB2312" w:hAnsi="仿宋_GB2312" w:eastAsia="仿宋_GB2312" w:cs="仿宋_GB2312"/>
          <w:i w:val="0"/>
          <w:iCs w:val="0"/>
          <w:caps w:val="0"/>
          <w:color w:val="000000"/>
          <w:spacing w:val="0"/>
          <w:sz w:val="32"/>
          <w:szCs w:val="32"/>
          <w:shd w:val="clear" w:fill="FFFFFF"/>
          <w:lang w:val="en-US" w:eastAsia="zh-CN"/>
        </w:rPr>
        <w:t>县</w:t>
      </w:r>
      <w:r>
        <w:rPr>
          <w:rFonts w:hint="eastAsia" w:ascii="仿宋_GB2312" w:hAnsi="仿宋_GB2312" w:eastAsia="仿宋_GB2312" w:cs="仿宋_GB2312"/>
          <w:i w:val="0"/>
          <w:iCs w:val="0"/>
          <w:caps w:val="0"/>
          <w:color w:val="000000"/>
          <w:spacing w:val="0"/>
          <w:sz w:val="32"/>
          <w:szCs w:val="32"/>
          <w:shd w:val="clear" w:fill="FFFFFF"/>
        </w:rPr>
        <w:t>应急管理局根据</w:t>
      </w:r>
      <w:r>
        <w:rPr>
          <w:rFonts w:hint="eastAsia" w:ascii="仿宋_GB2312" w:hAnsi="仿宋_GB2312" w:eastAsia="仿宋_GB2312" w:cs="仿宋_GB2312"/>
          <w:i w:val="0"/>
          <w:iCs w:val="0"/>
          <w:caps w:val="0"/>
          <w:color w:val="000000"/>
          <w:spacing w:val="0"/>
          <w:sz w:val="32"/>
          <w:szCs w:val="32"/>
          <w:shd w:val="clear" w:fill="FFFFFF"/>
          <w:lang w:val="en-US" w:eastAsia="zh-CN"/>
        </w:rPr>
        <w:t>新丰县</w:t>
      </w:r>
      <w:r>
        <w:rPr>
          <w:rFonts w:hint="eastAsia" w:ascii="仿宋_GB2312" w:hAnsi="仿宋_GB2312" w:eastAsia="仿宋_GB2312" w:cs="仿宋_GB2312"/>
          <w:i w:val="0"/>
          <w:iCs w:val="0"/>
          <w:caps w:val="0"/>
          <w:color w:val="000000"/>
          <w:spacing w:val="0"/>
          <w:sz w:val="32"/>
          <w:szCs w:val="32"/>
          <w:shd w:val="clear" w:fill="FFFFFF"/>
        </w:rPr>
        <w:t>人民政府关于销售燃放烟花爆竹的有关规定及相关法律法规核发。</w:t>
      </w:r>
    </w:p>
    <w:p w14:paraId="1A854D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（四）已取得烟花爆竹经营许可证的单位依法终止烟花爆竹经营活动的，应当向</w:t>
      </w:r>
      <w:r>
        <w:rPr>
          <w:rFonts w:hint="eastAsia" w:ascii="仿宋_GB2312" w:hAnsi="仿宋_GB2312" w:eastAsia="仿宋_GB2312" w:cs="仿宋_GB2312"/>
          <w:i w:val="0"/>
          <w:iCs w:val="0"/>
          <w:caps w:val="0"/>
          <w:color w:val="000000"/>
          <w:spacing w:val="0"/>
          <w:sz w:val="32"/>
          <w:szCs w:val="32"/>
          <w:shd w:val="clear" w:fill="FFFFFF"/>
          <w:lang w:val="en-US" w:eastAsia="zh-CN"/>
        </w:rPr>
        <w:t>县</w:t>
      </w:r>
      <w:r>
        <w:rPr>
          <w:rFonts w:hint="eastAsia" w:ascii="仿宋_GB2312" w:hAnsi="仿宋_GB2312" w:eastAsia="仿宋_GB2312" w:cs="仿宋_GB2312"/>
          <w:i w:val="0"/>
          <w:iCs w:val="0"/>
          <w:caps w:val="0"/>
          <w:color w:val="000000"/>
          <w:spacing w:val="0"/>
          <w:sz w:val="32"/>
          <w:szCs w:val="32"/>
          <w:shd w:val="clear" w:fill="FFFFFF"/>
        </w:rPr>
        <w:t>应急管理局申请注销其经营许可证。</w:t>
      </w:r>
    </w:p>
    <w:p w14:paraId="2A02E2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（五）各镇（街）及相关部门要在辖区内采取多种形式广泛宣传烟花爆竹有关法律法规政策规定，宣传烟花爆竹布点的意义，宣传布点原则、布点条件，做到政策公开透明。</w:t>
      </w:r>
    </w:p>
    <w:p w14:paraId="1C15D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（六）本规划在实施过程中，将根据实际情况按法定程序及时更新调整。</w:t>
      </w:r>
    </w:p>
    <w:p w14:paraId="77F7C7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七</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烟花爆竹经营（零售）许可证</w:t>
      </w:r>
      <w:r>
        <w:rPr>
          <w:rFonts w:hint="eastAsia" w:ascii="仿宋_GB2312" w:hAnsi="仿宋_GB2312" w:eastAsia="仿宋_GB2312" w:cs="仿宋_GB2312"/>
          <w:i w:val="0"/>
          <w:iCs w:val="0"/>
          <w:caps w:val="0"/>
          <w:color w:val="000000"/>
          <w:spacing w:val="0"/>
          <w:sz w:val="32"/>
          <w:szCs w:val="32"/>
          <w:shd w:val="clear" w:fill="FFFFFF"/>
          <w:lang w:val="en-US" w:eastAsia="zh-CN"/>
        </w:rPr>
        <w:t>有效期原则上不超过一年，申请受理时间为每年8月20日起，按受理时间先后顺序依次核查发证，待各区域证件办理数量达到布点规划数量（详见附件）后不再接受该区域证件申请。</w:t>
      </w:r>
    </w:p>
    <w:p w14:paraId="78CA9B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left="0" w:right="0" w:firstLine="634"/>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八</w:t>
      </w:r>
      <w:r>
        <w:rPr>
          <w:rFonts w:hint="eastAsia" w:ascii="仿宋_GB2312" w:hAnsi="仿宋_GB2312" w:eastAsia="仿宋_GB2312" w:cs="仿宋_GB2312"/>
          <w:i w:val="0"/>
          <w:iCs w:val="0"/>
          <w:caps w:val="0"/>
          <w:color w:val="000000"/>
          <w:spacing w:val="0"/>
          <w:sz w:val="32"/>
          <w:szCs w:val="32"/>
          <w:shd w:val="clear" w:fill="FFFFFF"/>
        </w:rPr>
        <w:t>）本方案自发布之日起生效，有效期</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w:t>
      </w:r>
    </w:p>
    <w:p w14:paraId="4D3672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p>
    <w:p w14:paraId="051C31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附件：</w:t>
      </w:r>
      <w:r>
        <w:rPr>
          <w:rFonts w:hint="eastAsia" w:ascii="仿宋_GB2312" w:hAnsi="仿宋_GB2312" w:eastAsia="仿宋_GB2312" w:cs="仿宋_GB2312"/>
          <w:i w:val="0"/>
          <w:iCs w:val="0"/>
          <w:caps w:val="0"/>
          <w:color w:val="000000"/>
          <w:spacing w:val="0"/>
          <w:sz w:val="32"/>
          <w:szCs w:val="32"/>
          <w:shd w:val="clear" w:fill="FFFFFF"/>
          <w:lang w:val="en-US" w:eastAsia="zh-CN"/>
        </w:rPr>
        <w:t>新丰县</w:t>
      </w:r>
      <w:r>
        <w:rPr>
          <w:rFonts w:hint="eastAsia" w:ascii="仿宋_GB2312" w:hAnsi="仿宋_GB2312" w:eastAsia="仿宋_GB2312" w:cs="仿宋_GB2312"/>
          <w:i w:val="0"/>
          <w:iCs w:val="0"/>
          <w:caps w:val="0"/>
          <w:color w:val="000000"/>
          <w:spacing w:val="0"/>
          <w:sz w:val="32"/>
          <w:szCs w:val="32"/>
          <w:shd w:val="clear" w:fill="FFFFFF"/>
        </w:rPr>
        <w:t>烟花爆竹经营（零售）店（点）布点</w:t>
      </w:r>
    </w:p>
    <w:p w14:paraId="68C96E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ascii="黑体" w:hAnsi="宋体" w:eastAsia="黑体" w:cs="黑体"/>
          <w:color w:val="424242"/>
          <w:sz w:val="31"/>
          <w:szCs w:val="31"/>
        </w:rPr>
      </w:pPr>
    </w:p>
    <w:p w14:paraId="00B618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ascii="黑体" w:hAnsi="宋体" w:eastAsia="黑体" w:cs="黑体"/>
          <w:color w:val="424242"/>
          <w:sz w:val="31"/>
          <w:szCs w:val="31"/>
        </w:rPr>
      </w:pPr>
    </w:p>
    <w:p w14:paraId="08F51D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ascii="黑体" w:hAnsi="宋体" w:eastAsia="黑体" w:cs="黑体"/>
          <w:color w:val="424242"/>
          <w:sz w:val="31"/>
          <w:szCs w:val="31"/>
        </w:rPr>
      </w:pPr>
    </w:p>
    <w:p w14:paraId="347C81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ascii="黑体" w:hAnsi="宋体" w:eastAsia="黑体" w:cs="黑体"/>
          <w:color w:val="424242"/>
          <w:sz w:val="31"/>
          <w:szCs w:val="31"/>
        </w:rPr>
      </w:pPr>
    </w:p>
    <w:p w14:paraId="2412AA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ascii="黑体" w:hAnsi="宋体" w:eastAsia="黑体" w:cs="黑体"/>
          <w:color w:val="424242"/>
          <w:sz w:val="31"/>
          <w:szCs w:val="31"/>
        </w:rPr>
      </w:pPr>
    </w:p>
    <w:p w14:paraId="37312F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ascii="黑体" w:hAnsi="宋体" w:eastAsia="黑体" w:cs="黑体"/>
          <w:color w:val="424242"/>
          <w:sz w:val="31"/>
          <w:szCs w:val="31"/>
        </w:rPr>
      </w:pPr>
    </w:p>
    <w:p w14:paraId="7F8852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jc w:val="left"/>
        <w:textAlignment w:val="auto"/>
        <w:rPr>
          <w:rFonts w:ascii="黑体" w:hAnsi="宋体" w:eastAsia="黑体" w:cs="黑体"/>
          <w:color w:val="424242"/>
          <w:sz w:val="31"/>
          <w:szCs w:val="31"/>
        </w:rPr>
      </w:pPr>
      <w:r>
        <w:rPr>
          <w:rFonts w:ascii="黑体" w:hAnsi="宋体" w:eastAsia="黑体" w:cs="黑体"/>
          <w:color w:val="424242"/>
          <w:sz w:val="31"/>
          <w:szCs w:val="31"/>
        </w:rPr>
        <w:t>附件</w:t>
      </w:r>
    </w:p>
    <w:p w14:paraId="660DD7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right="0"/>
        <w:jc w:val="left"/>
        <w:textAlignment w:val="auto"/>
        <w:rPr>
          <w:color w:val="424242"/>
        </w:rPr>
      </w:pPr>
      <w:r>
        <w:rPr>
          <w:rFonts w:ascii="方正小标宋简体" w:hAnsi="方正小标宋简体" w:eastAsia="方正小标宋简体" w:cs="方正小标宋简体"/>
          <w:color w:val="424242"/>
          <w:sz w:val="44"/>
          <w:szCs w:val="44"/>
        </w:rPr>
        <w:t>新</w:t>
      </w:r>
      <w:r>
        <w:rPr>
          <w:rFonts w:hint="eastAsia" w:ascii="方正小标宋简体" w:hAnsi="方正小标宋简体" w:eastAsia="方正小标宋简体" w:cs="方正小标宋简体"/>
          <w:color w:val="424242"/>
          <w:sz w:val="44"/>
          <w:szCs w:val="44"/>
          <w:lang w:val="en-US" w:eastAsia="zh-CN"/>
        </w:rPr>
        <w:t>丰县</w:t>
      </w:r>
      <w:r>
        <w:rPr>
          <w:rFonts w:ascii="方正小标宋简体" w:hAnsi="方正小标宋简体" w:eastAsia="方正小标宋简体" w:cs="方正小标宋简体"/>
          <w:color w:val="424242"/>
          <w:sz w:val="44"/>
          <w:szCs w:val="44"/>
        </w:rPr>
        <w:t>烟花爆竹经营（零售）店（点）布点</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3"/>
        <w:gridCol w:w="1139"/>
        <w:gridCol w:w="1260"/>
        <w:gridCol w:w="4590"/>
        <w:gridCol w:w="821"/>
      </w:tblGrid>
      <w:tr w14:paraId="2FFF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4" w:hRule="exact"/>
          <w:tblHeader/>
          <w:jc w:val="center"/>
        </w:trPr>
        <w:tc>
          <w:tcPr>
            <w:tcW w:w="793"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38F164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b/>
                <w:bCs w:val="0"/>
                <w:color w:val="424242"/>
              </w:rPr>
            </w:pPr>
            <w:r>
              <w:rPr>
                <w:rStyle w:val="7"/>
                <w:rFonts w:hint="eastAsia" w:ascii="仿宋_GB2312" w:hAnsi="仿宋_GB2312" w:eastAsia="仿宋_GB2312" w:cs="仿宋_GB2312"/>
                <w:b/>
                <w:bCs w:val="0"/>
                <w:color w:val="424242"/>
              </w:rPr>
              <w:t>序号</w:t>
            </w:r>
          </w:p>
        </w:tc>
        <w:tc>
          <w:tcPr>
            <w:tcW w:w="1139" w:type="dxa"/>
            <w:tcBorders>
              <w:top w:val="single" w:color="000000" w:sz="6" w:space="0"/>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2822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Style w:val="7"/>
                <w:rFonts w:hint="eastAsia" w:ascii="仿宋_GB2312" w:hAnsi="仿宋_GB2312" w:eastAsia="仿宋_GB2312" w:cs="仿宋_GB2312"/>
                <w:b/>
                <w:bCs w:val="0"/>
                <w:color w:val="424242"/>
              </w:rPr>
            </w:pPr>
            <w:r>
              <w:rPr>
                <w:rStyle w:val="7"/>
                <w:rFonts w:hint="eastAsia" w:ascii="仿宋_GB2312" w:hAnsi="仿宋_GB2312" w:eastAsia="仿宋_GB2312" w:cs="仿宋_GB2312"/>
                <w:b/>
                <w:bCs w:val="0"/>
                <w:color w:val="424242"/>
              </w:rPr>
              <w:t>镇（街、</w:t>
            </w:r>
            <w:r>
              <w:rPr>
                <w:rStyle w:val="7"/>
                <w:rFonts w:hint="eastAsia" w:ascii="仿宋_GB2312" w:hAnsi="仿宋_GB2312" w:eastAsia="仿宋_GB2312" w:cs="仿宋_GB2312"/>
                <w:b/>
                <w:bCs w:val="0"/>
                <w:color w:val="424242"/>
                <w:lang w:eastAsia="zh-CN"/>
              </w:rPr>
              <w:t>道</w:t>
            </w:r>
            <w:r>
              <w:rPr>
                <w:rStyle w:val="7"/>
                <w:rFonts w:hint="eastAsia" w:ascii="仿宋_GB2312" w:hAnsi="仿宋_GB2312" w:eastAsia="仿宋_GB2312" w:cs="仿宋_GB2312"/>
                <w:b/>
                <w:bCs w:val="0"/>
                <w:color w:val="424242"/>
              </w:rPr>
              <w:t>）</w:t>
            </w:r>
          </w:p>
        </w:tc>
        <w:tc>
          <w:tcPr>
            <w:tcW w:w="12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A262F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Style w:val="7"/>
                <w:rFonts w:hint="eastAsia" w:ascii="仿宋_GB2312" w:hAnsi="仿宋_GB2312" w:eastAsia="仿宋_GB2312" w:cs="仿宋_GB2312"/>
                <w:b/>
                <w:bCs w:val="0"/>
                <w:color w:val="424242"/>
                <w:lang w:val="en-US" w:eastAsia="zh-CN"/>
              </w:rPr>
            </w:pPr>
            <w:r>
              <w:rPr>
                <w:rStyle w:val="7"/>
                <w:rFonts w:hint="eastAsia" w:ascii="仿宋_GB2312" w:hAnsi="仿宋_GB2312" w:eastAsia="仿宋_GB2312" w:cs="仿宋_GB2312"/>
                <w:b/>
                <w:bCs w:val="0"/>
                <w:color w:val="424242"/>
                <w:lang w:val="en-US" w:eastAsia="zh-CN"/>
              </w:rPr>
              <w:t>规划布点数</w:t>
            </w:r>
          </w:p>
        </w:tc>
        <w:tc>
          <w:tcPr>
            <w:tcW w:w="4590" w:type="dxa"/>
            <w:tcBorders>
              <w:top w:val="single" w:color="auto" w:sz="4"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7712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Style w:val="7"/>
                <w:rFonts w:hint="default" w:ascii="仿宋_GB2312" w:hAnsi="仿宋_GB2312" w:eastAsia="仿宋_GB2312" w:cs="仿宋_GB2312"/>
                <w:b/>
                <w:bCs w:val="0"/>
                <w:color w:val="424242"/>
                <w:lang w:val="en" w:eastAsia="zh-CN"/>
              </w:rPr>
            </w:pPr>
            <w:r>
              <w:rPr>
                <w:rStyle w:val="7"/>
                <w:rFonts w:hint="eastAsia" w:ascii="仿宋_GB2312" w:hAnsi="仿宋_GB2312" w:eastAsia="仿宋_GB2312" w:cs="仿宋_GB2312"/>
                <w:b/>
                <w:bCs w:val="0"/>
                <w:color w:val="424242"/>
                <w:lang w:val="en-US" w:eastAsia="zh-CN"/>
              </w:rPr>
              <w:t>布点村（居）片区</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068C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jc w:val="center"/>
              <w:textAlignment w:val="auto"/>
              <w:rPr>
                <w:rStyle w:val="7"/>
                <w:rFonts w:hint="eastAsia" w:ascii="仿宋_GB2312" w:hAnsi="仿宋_GB2312" w:eastAsia="仿宋_GB2312" w:cs="仿宋_GB2312"/>
                <w:b/>
                <w:bCs w:val="0"/>
                <w:color w:val="424242"/>
                <w:lang w:val="en-US" w:eastAsia="zh-CN"/>
              </w:rPr>
            </w:pPr>
            <w:r>
              <w:rPr>
                <w:rStyle w:val="7"/>
                <w:rFonts w:hint="eastAsia" w:ascii="仿宋_GB2312" w:hAnsi="仿宋_GB2312" w:eastAsia="仿宋_GB2312" w:cs="仿宋_GB2312"/>
                <w:b/>
                <w:bCs w:val="0"/>
                <w:color w:val="424242"/>
                <w:lang w:val="en-US" w:eastAsia="zh-CN"/>
              </w:rPr>
              <w:t>数量</w:t>
            </w:r>
          </w:p>
        </w:tc>
      </w:tr>
      <w:tr w14:paraId="7E06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457383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rPr>
            </w:pPr>
            <w:r>
              <w:rPr>
                <w:rFonts w:hint="eastAsia" w:ascii="仿宋_GB2312" w:hAnsi="仿宋_GB2312" w:eastAsia="仿宋_GB2312" w:cs="仿宋_GB2312"/>
                <w:color w:val="424242"/>
                <w:sz w:val="21"/>
                <w:szCs w:val="21"/>
              </w:rPr>
              <w:t>1</w:t>
            </w:r>
          </w:p>
        </w:tc>
        <w:tc>
          <w:tcPr>
            <w:tcW w:w="1139"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368F0E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丰城街道</w:t>
            </w:r>
          </w:p>
        </w:tc>
        <w:tc>
          <w:tcPr>
            <w:tcW w:w="126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39592A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9</w:t>
            </w:r>
          </w:p>
        </w:tc>
        <w:tc>
          <w:tcPr>
            <w:tcW w:w="0" w:type="auto"/>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1DE45C5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横江村、龙江村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03C044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7</w:t>
            </w:r>
          </w:p>
        </w:tc>
      </w:tr>
      <w:tr w14:paraId="57FC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468CC8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center"/>
              <w:textAlignment w:val="auto"/>
              <w:rPr>
                <w:sz w:val="21"/>
                <w:szCs w:val="21"/>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7712B4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center"/>
              <w:textAlignment w:val="auto"/>
              <w:rPr>
                <w:sz w:val="21"/>
                <w:szCs w:val="21"/>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03E94E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center"/>
              <w:textAlignment w:val="auto"/>
              <w:rPr>
                <w:sz w:val="21"/>
                <w:szCs w:val="21"/>
              </w:rPr>
            </w:pPr>
          </w:p>
        </w:tc>
        <w:tc>
          <w:tcPr>
            <w:tcW w:w="0" w:type="auto"/>
            <w:tcBorders>
              <w:top w:val="single" w:color="000000" w:sz="6" w:space="0"/>
              <w:left w:val="single" w:color="auto" w:sz="4" w:space="0"/>
              <w:bottom w:val="single" w:color="000000" w:sz="6" w:space="0"/>
              <w:right w:val="single" w:color="auto" w:sz="4" w:space="0"/>
            </w:tcBorders>
            <w:shd w:val="clear" w:color="auto" w:fill="auto"/>
            <w:tcMar>
              <w:top w:w="75" w:type="dxa"/>
              <w:left w:w="150" w:type="dxa"/>
              <w:bottom w:w="75" w:type="dxa"/>
              <w:right w:w="150" w:type="dxa"/>
            </w:tcMar>
            <w:vAlign w:val="center"/>
          </w:tcPr>
          <w:p w14:paraId="494D19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left"/>
              <w:textAlignment w:val="auto"/>
              <w:rPr>
                <w:rFonts w:hint="eastAsia"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横坑村、坳头村、岳城村、涧下村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79CCD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57CB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E8C0E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center"/>
              <w:textAlignment w:val="auto"/>
              <w:rPr>
                <w:rFonts w:hint="eastAsia" w:ascii="仿宋_GB2312" w:hAnsi="仿宋_GB2312" w:eastAsia="仿宋_GB2312" w:cs="仿宋_GB2312"/>
                <w:color w:val="424242"/>
                <w:sz w:val="21"/>
                <w:szCs w:val="21"/>
                <w:lang w:val="en-US" w:eastAsia="zh-CN"/>
              </w:rPr>
            </w:pPr>
          </w:p>
        </w:tc>
        <w:tc>
          <w:tcPr>
            <w:tcW w:w="1139"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6F03C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center"/>
              <w:textAlignment w:val="auto"/>
              <w:rPr>
                <w:rFonts w:hint="eastAsia" w:ascii="仿宋_GB2312" w:hAnsi="仿宋_GB2312" w:eastAsia="仿宋_GB2312" w:cs="仿宋_GB2312"/>
                <w:color w:val="424242"/>
                <w:sz w:val="21"/>
                <w:szCs w:val="21"/>
                <w:lang w:val="en-US" w:eastAsia="zh-CN"/>
              </w:rPr>
            </w:pPr>
          </w:p>
        </w:tc>
        <w:tc>
          <w:tcPr>
            <w:tcW w:w="126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7BCF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center"/>
              <w:textAlignment w:val="auto"/>
              <w:rPr>
                <w:rFonts w:hint="eastAsia" w:ascii="仿宋_GB2312" w:hAnsi="仿宋_GB2312" w:eastAsia="仿宋_GB2312" w:cs="仿宋_GB2312"/>
                <w:color w:val="424242"/>
                <w:sz w:val="21"/>
                <w:szCs w:val="21"/>
                <w:lang w:val="en-US" w:eastAsia="zh-CN"/>
              </w:rPr>
            </w:pPr>
          </w:p>
        </w:tc>
        <w:tc>
          <w:tcPr>
            <w:tcW w:w="0" w:type="auto"/>
            <w:tcBorders>
              <w:top w:val="single" w:color="000000" w:sz="6"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03FB8B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left"/>
              <w:textAlignment w:val="auto"/>
              <w:rPr>
                <w:rFonts w:hint="eastAsia"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双良村、长陂村、文长村、高桥村、邹洞村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E9157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right="0" w:rightChars="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2E2F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196929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rPr>
            </w:pPr>
            <w:r>
              <w:rPr>
                <w:rFonts w:hint="eastAsia" w:ascii="仿宋_GB2312" w:hAnsi="仿宋_GB2312" w:eastAsia="仿宋_GB2312" w:cs="仿宋_GB2312"/>
                <w:color w:val="424242"/>
                <w:sz w:val="21"/>
                <w:szCs w:val="21"/>
              </w:rPr>
              <w:t>2</w:t>
            </w:r>
          </w:p>
        </w:tc>
        <w:tc>
          <w:tcPr>
            <w:tcW w:w="1139"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58CEEA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梅坑镇</w:t>
            </w:r>
          </w:p>
        </w:tc>
        <w:tc>
          <w:tcPr>
            <w:tcW w:w="126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7EF197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eastAsia"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13</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20AA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梅中村、梅坑村、梅南村、梅西村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5AB54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3</w:t>
            </w:r>
          </w:p>
        </w:tc>
      </w:tr>
      <w:tr w14:paraId="602B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212FA0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759ADA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0D061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0B345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both"/>
              <w:textAlignment w:val="auto"/>
              <w:rPr>
                <w:rFonts w:hint="eastAsia"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梅东村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4FC32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4</w:t>
            </w:r>
          </w:p>
        </w:tc>
      </w:tr>
      <w:tr w14:paraId="4B0B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42CCA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769D12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08092B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6EDB0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长江村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4F8E5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6F1C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378B28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43D806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602DC1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CDE1D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张田村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08F80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3</w:t>
            </w:r>
          </w:p>
        </w:tc>
      </w:tr>
      <w:tr w14:paraId="7A23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25A29B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3A686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3782C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EF0EB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大岭村、利坑村、徐坑村、华溪村、小正村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FE01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2</w:t>
            </w:r>
          </w:p>
        </w:tc>
      </w:tr>
      <w:tr w14:paraId="6B87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422CFE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rPr>
            </w:pPr>
            <w:r>
              <w:rPr>
                <w:rFonts w:hint="eastAsia" w:ascii="仿宋_GB2312" w:hAnsi="仿宋_GB2312" w:eastAsia="仿宋_GB2312" w:cs="仿宋_GB2312"/>
                <w:color w:val="424242"/>
                <w:sz w:val="21"/>
                <w:szCs w:val="21"/>
              </w:rPr>
              <w:t>3</w:t>
            </w:r>
          </w:p>
        </w:tc>
        <w:tc>
          <w:tcPr>
            <w:tcW w:w="1139"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6DC168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lang w:eastAsia="zh-CN"/>
              </w:rPr>
            </w:pPr>
            <w:r>
              <w:rPr>
                <w:rFonts w:hint="eastAsia" w:ascii="仿宋_GB2312" w:hAnsi="仿宋_GB2312" w:eastAsia="仿宋_GB2312" w:cs="仿宋_GB2312"/>
                <w:color w:val="424242"/>
                <w:sz w:val="21"/>
                <w:szCs w:val="21"/>
                <w:lang w:val="en-US" w:eastAsia="zh-CN"/>
              </w:rPr>
              <w:t>马头镇</w:t>
            </w:r>
          </w:p>
        </w:tc>
        <w:tc>
          <w:tcPr>
            <w:tcW w:w="126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39BF52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0F026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雅盖坑村、湖塘村、潭石村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17FA3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4</w:t>
            </w:r>
          </w:p>
        </w:tc>
      </w:tr>
      <w:tr w14:paraId="6C5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0A3E95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5D31F8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634C04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37FFD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军一村、军二村、军三村、乌石岗村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A2E4A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3040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425DFD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79EA9A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18D550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79373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石角片区</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C74FE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0997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D5102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51E7C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4777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48ADA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大席片区</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84A9B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656B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07D6E5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rPr>
            </w:pPr>
            <w:r>
              <w:rPr>
                <w:rFonts w:hint="eastAsia" w:ascii="仿宋_GB2312" w:hAnsi="仿宋_GB2312" w:eastAsia="仿宋_GB2312" w:cs="仿宋_GB2312"/>
                <w:color w:val="424242"/>
                <w:sz w:val="21"/>
                <w:szCs w:val="21"/>
              </w:rPr>
              <w:t>4</w:t>
            </w:r>
          </w:p>
        </w:tc>
        <w:tc>
          <w:tcPr>
            <w:tcW w:w="1139"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467C95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lang w:eastAsia="zh-CN"/>
              </w:rPr>
            </w:pPr>
            <w:r>
              <w:rPr>
                <w:rFonts w:hint="eastAsia" w:ascii="仿宋_GB2312" w:hAnsi="仿宋_GB2312" w:eastAsia="仿宋_GB2312" w:cs="仿宋_GB2312"/>
                <w:color w:val="424242"/>
                <w:sz w:val="21"/>
                <w:szCs w:val="21"/>
                <w:shd w:val="clear"/>
                <w:lang w:val="en-US" w:eastAsia="zh-CN"/>
              </w:rPr>
              <w:fldChar w:fldCharType="begin"/>
            </w:r>
            <w:r>
              <w:rPr>
                <w:rFonts w:hint="eastAsia" w:ascii="仿宋_GB2312" w:hAnsi="仿宋_GB2312" w:eastAsia="仿宋_GB2312" w:cs="仿宋_GB2312"/>
                <w:color w:val="424242"/>
                <w:sz w:val="21"/>
                <w:szCs w:val="21"/>
                <w:shd w:val="clear"/>
                <w:lang w:val="en-US" w:eastAsia="zh-CN"/>
              </w:rPr>
              <w:instrText xml:space="preserve"> HYPERLINK "https://www.xinfeng.gov.cn/zxxf/zjzc/h36z" </w:instrText>
            </w:r>
            <w:r>
              <w:rPr>
                <w:rFonts w:hint="eastAsia" w:ascii="仿宋_GB2312" w:hAnsi="仿宋_GB2312" w:eastAsia="仿宋_GB2312" w:cs="仿宋_GB2312"/>
                <w:color w:val="424242"/>
                <w:sz w:val="21"/>
                <w:szCs w:val="21"/>
                <w:shd w:val="clear"/>
                <w:lang w:val="en-US" w:eastAsia="zh-CN"/>
              </w:rPr>
              <w:fldChar w:fldCharType="separate"/>
            </w:r>
            <w:r>
              <w:rPr>
                <w:rFonts w:hint="eastAsia" w:ascii="仿宋_GB2312" w:hAnsi="仿宋_GB2312" w:eastAsia="仿宋_GB2312" w:cs="仿宋_GB2312"/>
                <w:color w:val="424242"/>
                <w:sz w:val="21"/>
                <w:szCs w:val="21"/>
                <w:shd w:val="clear"/>
                <w:lang w:val="en-US" w:eastAsia="zh-CN"/>
              </w:rPr>
              <w:t>黄磜镇</w:t>
            </w:r>
            <w:r>
              <w:rPr>
                <w:rFonts w:hint="eastAsia" w:ascii="仿宋_GB2312" w:hAnsi="仿宋_GB2312" w:eastAsia="仿宋_GB2312" w:cs="仿宋_GB2312"/>
                <w:color w:val="424242"/>
                <w:sz w:val="21"/>
                <w:szCs w:val="21"/>
                <w:shd w:val="clear"/>
                <w:lang w:val="en-US" w:eastAsia="zh-CN"/>
              </w:rPr>
              <w:fldChar w:fldCharType="end"/>
            </w:r>
          </w:p>
        </w:tc>
        <w:tc>
          <w:tcPr>
            <w:tcW w:w="126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7A4CF8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eastAsia"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63207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雪梅村、梅溪村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F011D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3</w:t>
            </w:r>
          </w:p>
        </w:tc>
      </w:tr>
      <w:tr w14:paraId="5EE1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611C5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501494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7AFD4A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C00EC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秋峒村、茶峒村、营盘村、西草村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0B62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7CE8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7C87E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8BCE7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AF99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02AB3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三岔村、黄沙坑村、高群村、梁坝村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D011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74BA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5E9F9A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rPr>
            </w:pPr>
            <w:r>
              <w:rPr>
                <w:rFonts w:hint="eastAsia" w:ascii="仿宋_GB2312" w:hAnsi="仿宋_GB2312" w:eastAsia="仿宋_GB2312" w:cs="仿宋_GB2312"/>
                <w:color w:val="424242"/>
                <w:sz w:val="21"/>
                <w:szCs w:val="21"/>
              </w:rPr>
              <w:t>5</w:t>
            </w:r>
          </w:p>
        </w:tc>
        <w:tc>
          <w:tcPr>
            <w:tcW w:w="1139"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744C04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沙田镇</w:t>
            </w:r>
          </w:p>
        </w:tc>
        <w:tc>
          <w:tcPr>
            <w:tcW w:w="126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5F6889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9</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2D2D9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白楼村、善塘村、咸水村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D5DC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6</w:t>
            </w:r>
          </w:p>
        </w:tc>
      </w:tr>
      <w:tr w14:paraId="2D8E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3FC119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45205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298319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8C12F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缠良村、天中村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A8478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12F0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110BA7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2B51A5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45682E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818F4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阳福村、长引村、龙潭村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9775A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339C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8DFC7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6CFE7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30FB4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FD563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乌石村、新岭村、叶屋村、下埔村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D6FE8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r w14:paraId="3418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74426C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rPr>
            </w:pPr>
            <w:r>
              <w:rPr>
                <w:rFonts w:hint="eastAsia" w:ascii="仿宋_GB2312" w:hAnsi="仿宋_GB2312" w:eastAsia="仿宋_GB2312" w:cs="仿宋_GB2312"/>
                <w:color w:val="424242"/>
                <w:sz w:val="21"/>
                <w:szCs w:val="21"/>
              </w:rPr>
              <w:t>6</w:t>
            </w:r>
          </w:p>
        </w:tc>
        <w:tc>
          <w:tcPr>
            <w:tcW w:w="1139"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293FAD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遥田镇</w:t>
            </w:r>
          </w:p>
        </w:tc>
        <w:tc>
          <w:tcPr>
            <w:tcW w:w="126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5B45C6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29104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半陂村、江下村、茶江村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1C1E2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4</w:t>
            </w:r>
          </w:p>
        </w:tc>
      </w:tr>
      <w:tr w14:paraId="08DD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4D8FCF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4F62C2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579BAC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9C2E5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南坑村、左坑村、高排村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FB49A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2</w:t>
            </w:r>
          </w:p>
        </w:tc>
      </w:tr>
      <w:tr w14:paraId="0362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4DDE62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7C357B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173E6B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72F26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长安村、大马村、高石村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16677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2</w:t>
            </w:r>
          </w:p>
        </w:tc>
      </w:tr>
      <w:tr w14:paraId="5B94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131A6F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87BEE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31380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2A998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高墩村、维新村、大埔村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C7867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2</w:t>
            </w:r>
          </w:p>
        </w:tc>
      </w:tr>
      <w:tr w14:paraId="2DCC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2FB9C4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rPr>
            </w:pPr>
            <w:r>
              <w:rPr>
                <w:rFonts w:hint="eastAsia" w:ascii="仿宋_GB2312" w:hAnsi="仿宋_GB2312" w:eastAsia="仿宋_GB2312" w:cs="仿宋_GB2312"/>
                <w:color w:val="424242"/>
                <w:sz w:val="21"/>
                <w:szCs w:val="21"/>
              </w:rPr>
              <w:t>7</w:t>
            </w:r>
          </w:p>
        </w:tc>
        <w:tc>
          <w:tcPr>
            <w:tcW w:w="1139" w:type="dxa"/>
            <w:vMerge w:val="restart"/>
            <w:tcBorders>
              <w:top w:val="single" w:color="000000" w:sz="6" w:space="0"/>
              <w:left w:val="single" w:color="000000" w:sz="6" w:space="0"/>
              <w:right w:val="nil"/>
            </w:tcBorders>
            <w:shd w:val="clear" w:color="auto" w:fill="auto"/>
            <w:tcMar>
              <w:top w:w="75" w:type="dxa"/>
              <w:left w:w="150" w:type="dxa"/>
              <w:bottom w:w="75" w:type="dxa"/>
              <w:right w:w="150" w:type="dxa"/>
            </w:tcMar>
            <w:vAlign w:val="center"/>
          </w:tcPr>
          <w:p w14:paraId="5C53F8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ascii="仿宋_GB2312" w:hAnsi="仿宋_GB2312" w:eastAsia="仿宋_GB2312" w:cs="仿宋_GB2312"/>
                <w:color w:val="424242"/>
                <w:sz w:val="21"/>
                <w:szCs w:val="21"/>
                <w:lang w:eastAsia="zh-CN"/>
              </w:rPr>
            </w:pPr>
            <w:r>
              <w:rPr>
                <w:rFonts w:hint="eastAsia" w:ascii="仿宋_GB2312" w:hAnsi="仿宋_GB2312" w:eastAsia="仿宋_GB2312" w:cs="仿宋_GB2312"/>
                <w:color w:val="424242"/>
                <w:sz w:val="21"/>
                <w:szCs w:val="21"/>
                <w:lang w:val="en-US" w:eastAsia="zh-CN"/>
              </w:rPr>
              <w:t>回龙镇</w:t>
            </w:r>
          </w:p>
        </w:tc>
        <w:tc>
          <w:tcPr>
            <w:tcW w:w="126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163E78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FC404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回龙村、正子村、井塘村、古塘村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6D3F8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4</w:t>
            </w:r>
          </w:p>
        </w:tc>
      </w:tr>
      <w:tr w14:paraId="33D7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2B846E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139" w:type="dxa"/>
            <w:vMerge w:val="continue"/>
            <w:tcBorders>
              <w:left w:val="single" w:color="000000" w:sz="6" w:space="0"/>
              <w:right w:val="nil"/>
            </w:tcBorders>
            <w:shd w:val="clear" w:color="auto" w:fill="auto"/>
            <w:tcMar>
              <w:top w:w="75" w:type="dxa"/>
              <w:left w:w="150" w:type="dxa"/>
              <w:bottom w:w="75" w:type="dxa"/>
              <w:right w:w="150" w:type="dxa"/>
            </w:tcMar>
            <w:vAlign w:val="center"/>
          </w:tcPr>
          <w:p w14:paraId="4B169E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1260" w:type="dxa"/>
            <w:vMerge w:val="continue"/>
            <w:tcBorders>
              <w:left w:val="single" w:color="000000" w:sz="6" w:space="0"/>
              <w:right w:val="single" w:color="auto" w:sz="4" w:space="0"/>
            </w:tcBorders>
            <w:shd w:val="clear" w:color="auto" w:fill="auto"/>
            <w:tcMar>
              <w:top w:w="75" w:type="dxa"/>
              <w:left w:w="150" w:type="dxa"/>
              <w:bottom w:w="75" w:type="dxa"/>
              <w:right w:w="150" w:type="dxa"/>
            </w:tcMar>
            <w:vAlign w:val="center"/>
          </w:tcPr>
          <w:p w14:paraId="2C5D6C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sz w:val="21"/>
                <w:szCs w:val="21"/>
              </w:rPr>
            </w:pPr>
          </w:p>
        </w:tc>
        <w:tc>
          <w:tcPr>
            <w:tcW w:w="0" w:type="auto"/>
            <w:tcBorders>
              <w:top w:val="single" w:color="000000" w:sz="6"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87D6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塘村村、新村村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4F1BC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2</w:t>
            </w:r>
          </w:p>
        </w:tc>
      </w:tr>
      <w:tr w14:paraId="02BF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exact"/>
          <w:jc w:val="center"/>
        </w:trPr>
        <w:tc>
          <w:tcPr>
            <w:tcW w:w="793"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0B49C1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139" w:type="dxa"/>
            <w:vMerge w:val="continue"/>
            <w:tcBorders>
              <w:left w:val="single" w:color="000000" w:sz="6" w:space="0"/>
              <w:bottom w:val="single" w:color="000000" w:sz="6" w:space="0"/>
              <w:right w:val="nil"/>
            </w:tcBorders>
            <w:shd w:val="clear" w:color="auto" w:fill="auto"/>
            <w:tcMar>
              <w:top w:w="75" w:type="dxa"/>
              <w:left w:w="150" w:type="dxa"/>
              <w:bottom w:w="75" w:type="dxa"/>
              <w:right w:w="150" w:type="dxa"/>
            </w:tcMar>
            <w:vAlign w:val="center"/>
          </w:tcPr>
          <w:p w14:paraId="520844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126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BF280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p>
        </w:tc>
        <w:tc>
          <w:tcPr>
            <w:tcW w:w="0" w:type="auto"/>
            <w:tcBorders>
              <w:top w:val="single" w:color="000000" w:sz="6"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E64D3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left"/>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来石村、楼下村</w:t>
            </w:r>
          </w:p>
        </w:tc>
        <w:tc>
          <w:tcPr>
            <w:tcW w:w="82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51EAC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atLeast"/>
              <w:ind w:left="0" w:right="0"/>
              <w:jc w:val="center"/>
              <w:textAlignment w:val="auto"/>
              <w:rPr>
                <w:rFonts w:hint="default" w:ascii="仿宋_GB2312" w:hAnsi="仿宋_GB2312" w:eastAsia="仿宋_GB2312" w:cs="仿宋_GB2312"/>
                <w:color w:val="424242"/>
                <w:sz w:val="21"/>
                <w:szCs w:val="21"/>
                <w:lang w:val="en-US" w:eastAsia="zh-CN"/>
              </w:rPr>
            </w:pPr>
            <w:r>
              <w:rPr>
                <w:rFonts w:hint="eastAsia" w:ascii="仿宋_GB2312" w:hAnsi="仿宋_GB2312" w:eastAsia="仿宋_GB2312" w:cs="仿宋_GB2312"/>
                <w:color w:val="424242"/>
                <w:sz w:val="21"/>
                <w:szCs w:val="21"/>
                <w:lang w:val="en-US" w:eastAsia="zh-CN"/>
              </w:rPr>
              <w:t>1</w:t>
            </w:r>
          </w:p>
        </w:tc>
      </w:tr>
    </w:tbl>
    <w:p w14:paraId="659654F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34181">
    <w:pPr>
      <w:pStyle w:val="2"/>
      <w:tabs>
        <w:tab w:val="right" w:pos="884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D3EED">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ED3EED">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NDRkY2RhMDUyMjIwMGNkOTNhNzY4NjUzOTA5NzAifQ=="/>
  </w:docVars>
  <w:rsids>
    <w:rsidRoot w:val="00000000"/>
    <w:rsid w:val="00C24023"/>
    <w:rsid w:val="01C63ACD"/>
    <w:rsid w:val="042B4C86"/>
    <w:rsid w:val="04C167FC"/>
    <w:rsid w:val="145051CD"/>
    <w:rsid w:val="15A0271B"/>
    <w:rsid w:val="1D566AFF"/>
    <w:rsid w:val="20F6587D"/>
    <w:rsid w:val="213E0300"/>
    <w:rsid w:val="279E39C5"/>
    <w:rsid w:val="27D4653A"/>
    <w:rsid w:val="29AC54CF"/>
    <w:rsid w:val="2A7D0C95"/>
    <w:rsid w:val="2AD50E59"/>
    <w:rsid w:val="2CB148B8"/>
    <w:rsid w:val="2FB575FF"/>
    <w:rsid w:val="332C0D52"/>
    <w:rsid w:val="34B14BE6"/>
    <w:rsid w:val="362F3A22"/>
    <w:rsid w:val="36818CAD"/>
    <w:rsid w:val="3D456A1F"/>
    <w:rsid w:val="3D9B0A65"/>
    <w:rsid w:val="3DF9B398"/>
    <w:rsid w:val="3F2DF4A4"/>
    <w:rsid w:val="42465957"/>
    <w:rsid w:val="4307231E"/>
    <w:rsid w:val="460B592E"/>
    <w:rsid w:val="47BF0C0C"/>
    <w:rsid w:val="4BB8095C"/>
    <w:rsid w:val="4FE97812"/>
    <w:rsid w:val="50840CC8"/>
    <w:rsid w:val="537511C4"/>
    <w:rsid w:val="5EDE977F"/>
    <w:rsid w:val="614119D3"/>
    <w:rsid w:val="669BC45A"/>
    <w:rsid w:val="680358AA"/>
    <w:rsid w:val="6ADA3F37"/>
    <w:rsid w:val="6AEA44E8"/>
    <w:rsid w:val="6BF75398"/>
    <w:rsid w:val="6EB96DF3"/>
    <w:rsid w:val="6FEB7F37"/>
    <w:rsid w:val="74A85AFB"/>
    <w:rsid w:val="79B94FA6"/>
    <w:rsid w:val="7ABEBB4D"/>
    <w:rsid w:val="7AF66697"/>
    <w:rsid w:val="7AFD229A"/>
    <w:rsid w:val="7B5DB510"/>
    <w:rsid w:val="7BCE0638"/>
    <w:rsid w:val="7DBB4801"/>
    <w:rsid w:val="7EAD83A1"/>
    <w:rsid w:val="7EFEFD8E"/>
    <w:rsid w:val="7F930498"/>
    <w:rsid w:val="7FB825C8"/>
    <w:rsid w:val="955DFBA9"/>
    <w:rsid w:val="B75D4623"/>
    <w:rsid w:val="BE5F8A65"/>
    <w:rsid w:val="BFEB2B6B"/>
    <w:rsid w:val="BFFC0142"/>
    <w:rsid w:val="CF5F7977"/>
    <w:rsid w:val="D6FFC911"/>
    <w:rsid w:val="DD770859"/>
    <w:rsid w:val="E5FFB45C"/>
    <w:rsid w:val="EF1D334C"/>
    <w:rsid w:val="F12FAC9F"/>
    <w:rsid w:val="F1EFD056"/>
    <w:rsid w:val="F3F343A1"/>
    <w:rsid w:val="F76F6005"/>
    <w:rsid w:val="F97BB3A6"/>
    <w:rsid w:val="FDDEAA2B"/>
    <w:rsid w:val="FFFF5B3D"/>
    <w:rsid w:val="FFFFB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2017</Words>
  <Characters>2097</Characters>
  <Lines>0</Lines>
  <Paragraphs>0</Paragraphs>
  <TotalTime>0</TotalTime>
  <ScaleCrop>false</ScaleCrop>
  <LinksUpToDate>false</LinksUpToDate>
  <CharactersWithSpaces>2101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2024-05-27T17:44:00Z</dcterms:created>
  <dc:creator>huawei</dc:creator>
  <cp:lastModifiedBy>Administrator</cp:lastModifiedBy>
  <cp:lastPrinted>2025-07-28T15:21:00Z</cp:lastPrinted>
  <dcterms:modified xsi:type="dcterms:W3CDTF">2025-09-16T02:07:35Z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240ED75ED2644D27BAAE6C3A2E5FA3F7</vt:lpwstr>
  </property>
  <property fmtid="{D5CDD505-2E9C-101B-9397-08002B2CF9AE}" pid="4" name="KSOTemplateDocerSaveRecord">
    <vt:lpwstr>eyJoZGlkIjoiZGUwNDQyYjhjNGFkYmE4MDJkOTk4NjFlYWQxNzM2MTcifQ==</vt:lpwstr>
  </property>
</Properties>
</file>