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仿宋_GB2312" w:hAnsi="仿宋_GB2312" w:eastAsia="仿宋_GB2312" w:cs="仿宋_GB2312"/>
          <w:b/>
          <w:sz w:val="32"/>
          <w:szCs w:val="32"/>
        </w:rPr>
      </w:pPr>
      <w:bookmarkStart w:id="0" w:name="_GoBack"/>
      <w:bookmarkEnd w:id="0"/>
    </w:p>
    <w:p>
      <w:pPr>
        <w:spacing w:line="560" w:lineRule="exact"/>
        <w:jc w:val="center"/>
        <w:outlineLvl w:val="0"/>
        <w:rPr>
          <w:rFonts w:hint="eastAsia"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《新丰县黄磜镇SG-XF-12-03地块</w:t>
      </w:r>
    </w:p>
    <w:p>
      <w:pPr>
        <w:spacing w:line="560" w:lineRule="exact"/>
        <w:jc w:val="center"/>
        <w:outlineLvl w:val="0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控制性详细规划</w:t>
      </w:r>
      <w:r>
        <w:rPr>
          <w:rFonts w:ascii="方正小标宋_GBK" w:hAnsi="方正小标宋_GBK" w:eastAsia="方正小标宋_GBK" w:cs="方正小标宋_GBK"/>
          <w:b/>
          <w:sz w:val="44"/>
          <w:szCs w:val="44"/>
        </w:rPr>
        <w:t>》（草案）</w:t>
      </w:r>
    </w:p>
    <w:p>
      <w:pPr>
        <w:spacing w:line="560" w:lineRule="exact"/>
        <w:jc w:val="center"/>
        <w:outlineLvl w:val="0"/>
        <w:rPr>
          <w:rFonts w:hint="eastAsia" w:ascii="华文细黑" w:hAnsi="华文细黑" w:eastAsia="华文细黑" w:cs="宋体"/>
          <w:b/>
          <w:bCs/>
          <w:kern w:val="0"/>
          <w:sz w:val="24"/>
          <w:szCs w:val="24"/>
        </w:rPr>
      </w:pPr>
    </w:p>
    <w:p>
      <w:pPr>
        <w:spacing w:line="560" w:lineRule="exact"/>
        <w:ind w:firstLine="643" w:firstLineChars="200"/>
        <w:jc w:val="left"/>
        <w:outlineLvl w:val="0"/>
        <w:rPr>
          <w:rFonts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一、规划范围</w:t>
      </w:r>
    </w:p>
    <w:p>
      <w:pPr>
        <w:spacing w:line="560" w:lineRule="exact"/>
        <w:ind w:firstLine="640" w:firstLineChars="200"/>
        <w:jc w:val="left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规划区位于新丰县黄磜镇东部，G220国道东侧。规划范围面积为4333.50平方米。</w:t>
      </w:r>
    </w:p>
    <w:p>
      <w:pPr>
        <w:spacing w:line="560" w:lineRule="exact"/>
        <w:ind w:firstLine="643" w:firstLineChars="200"/>
        <w:jc w:val="left"/>
        <w:outlineLvl w:val="0"/>
        <w:rPr>
          <w:rFonts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二、规划目标与定位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托新丰县优质的自然资源本底，以创建“国家全域旅游示范区”“全国森林康养基地建设示范县”为契机，用好用活“中国岭南避暑胜地”金字招牌，积极对接粤港澳大湾区发展需求，围绕樱花主题，打造融合农业观光、文化体验、四季休闲功能为一体的大湾区乡村农旅示范区，联动黄磜镇岭南红叶世界、高山茶基地形成“农旅+红旅+康旅”的全域特色旅游线路。</w:t>
      </w:r>
    </w:p>
    <w:p>
      <w:pPr>
        <w:spacing w:line="560" w:lineRule="exact"/>
        <w:ind w:firstLine="643" w:firstLineChars="200"/>
        <w:jc w:val="left"/>
        <w:outlineLvl w:val="0"/>
        <w:rPr>
          <w:rFonts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三、规划用地布局及专项规划</w:t>
      </w:r>
    </w:p>
    <w:p>
      <w:pPr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（1）土地利用规划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规划范围内总用地4333.50平方米，全部为建设用地。商业服务业用地面积4333.50平方米，占规划总用地面积的100%，为商业用地的旅馆用地。</w:t>
      </w:r>
    </w:p>
    <w:p>
      <w:pPr>
        <w:spacing w:line="560" w:lineRule="exact"/>
        <w:ind w:firstLine="643" w:firstLineChars="200"/>
        <w:jc w:val="left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地块控制指标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开发强度控制：</w:t>
      </w:r>
      <w:r>
        <w:rPr>
          <w:rFonts w:hint="eastAsia" w:ascii="仿宋_GB2312" w:hAnsi="仿宋_GB2312" w:eastAsia="仿宋_GB2312" w:cs="仿宋_GB2312"/>
          <w:sz w:val="32"/>
          <w:szCs w:val="32"/>
        </w:rPr>
        <w:t>旅馆用地容积率控制在1.2以下，建筑密度控制在45%以下。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建筑高度控制：</w:t>
      </w:r>
      <w:r>
        <w:rPr>
          <w:rFonts w:hint="eastAsia" w:ascii="仿宋_GB2312" w:hAnsi="仿宋_GB2312" w:eastAsia="仿宋_GB2312" w:cs="仿宋_GB2312"/>
          <w:sz w:val="32"/>
          <w:szCs w:val="32"/>
        </w:rPr>
        <w:t>旅馆用地建筑高度控制在 24 米以下。</w:t>
      </w:r>
    </w:p>
    <w:p>
      <w:pPr>
        <w:spacing w:line="560" w:lineRule="exact"/>
        <w:ind w:firstLine="643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绿地率控制：</w:t>
      </w:r>
      <w:r>
        <w:rPr>
          <w:rFonts w:hint="eastAsia" w:ascii="仿宋_GB2312" w:hAnsi="仿宋_GB2312" w:eastAsia="仿宋_GB2312" w:cs="仿宋_GB2312"/>
          <w:sz w:val="32"/>
          <w:szCs w:val="32"/>
        </w:rPr>
        <w:t>旅馆用地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控制绿地率不小于15%。</w:t>
      </w:r>
    </w:p>
    <w:p>
      <w:pPr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）综合交通规划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规划区通过南侧现状道路连接至 G220国道，实现快速对外交通连接。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G220国道：道路红线宽9米，双向两车道。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规划专用道路：道路红线宽5米。</w:t>
      </w:r>
    </w:p>
    <w:p>
      <w:pPr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）市政公用设施</w:t>
      </w:r>
    </w:p>
    <w:p>
      <w:pPr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给水工程：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规划区用水从景区干路规划给水管接入。给水主干管沿景区干路布置。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污水工程：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实行雨污分流排水体制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，规划区沿景区干路敷设污水干管，往西接入规划污水管，最终排往黄磜镇污水处理厂。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雨水工程：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采用就近排放的原则进行设计，根据地形坡度布置雨水管网，规划雨水管线沿道路两侧铺设，通过支管将雨水汇集到主干管，再排向南侧坑塘。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电力工程：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规划区电源取自规划区范围外35kV变电站。合理规划10KV电网，增强配电转供能力，为配网自动化奠定基础。规划道路电力管线敷设在东/南面。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通信工程：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通信管道宜与道路施工同步建设，管道主要沿道路两侧敷设，另外在新建的道路两侧均应预留电信管道的管孔。原则上布置在道路西、南侧的人行道或绿化带下布置；或依景区道路需要可作适当调整。</w:t>
      </w:r>
    </w:p>
    <w:p>
      <w:pPr>
        <w:spacing w:line="560" w:lineRule="exact"/>
        <w:ind w:firstLine="643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环卫工程：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规划垃圾收集点1处；公共厕所1座，每处30-120平方米。</w:t>
      </w:r>
    </w:p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E2164"/>
    <w:rsid w:val="12BE53D5"/>
    <w:rsid w:val="16F41D35"/>
    <w:rsid w:val="21411DFA"/>
    <w:rsid w:val="238E2164"/>
    <w:rsid w:val="3EDD551E"/>
    <w:rsid w:val="56C83466"/>
    <w:rsid w:val="758A6160"/>
    <w:rsid w:val="7D763876"/>
    <w:rsid w:val="7EFD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741</Words>
  <Characters>792</Characters>
  <Lines>0</Lines>
  <Paragraphs>0</Paragraphs>
  <TotalTime>13</TotalTime>
  <ScaleCrop>false</ScaleCrop>
  <LinksUpToDate>false</LinksUpToDate>
  <CharactersWithSpaces>793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2025-03-21T02:50:00Z</dcterms:created>
  <dc:creator>文俊</dc:creator>
  <cp:lastModifiedBy>Administrator</cp:lastModifiedBy>
  <dcterms:modified xsi:type="dcterms:W3CDTF">2025-03-25T07:04:53Z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96AA239BD084436B880CB6BDCCA9CC79_11</vt:lpwstr>
  </property>
  <property fmtid="{D5CDD505-2E9C-101B-9397-08002B2CF9AE}" pid="4" name="KSOTemplateDocerSaveRecord">
    <vt:lpwstr>eyJoZGlkIjoiN2M4OWJjYzlmYWQwYTAyMmM1NWFiZTg3MWQ4MDg3OWMiLCJ1c2VySWQiOiIyNTY2MTI1OTEifQ==</vt:lpwstr>
  </property>
</Properties>
</file>