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43548">
      <w:pPr>
        <w:keepNext w:val="0"/>
        <w:keepLines w:val="0"/>
        <w:pageBreakBefore w:val="0"/>
        <w:kinsoku/>
        <w:wordWrap/>
        <w:overflowPunct/>
        <w:topLinePunct w:val="0"/>
        <w:autoSpaceDN/>
        <w:bidi w:val="0"/>
        <w:spacing w:line="576" w:lineRule="exact"/>
        <w:jc w:val="center"/>
        <w:rPr>
          <w:rFonts w:hint="eastAsia" w:ascii="仿宋_GB2312" w:hAnsi="仿宋_GB2312" w:eastAsia="仿宋_GB2312" w:cs="仿宋_GB2312"/>
          <w:sz w:val="36"/>
          <w:szCs w:val="36"/>
        </w:rPr>
      </w:pPr>
    </w:p>
    <w:p w14:paraId="793FC52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新丰县竹产业高质量发展奖补实施方案</w:t>
      </w:r>
    </w:p>
    <w:p w14:paraId="4FB9CB1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（征求意见稿）</w:t>
      </w:r>
    </w:p>
    <w:p w14:paraId="73B6F900">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17F95DC5">
      <w:pPr>
        <w:pStyle w:val="5"/>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为深入贯彻习近平总书记关于“把小竹子做成大产业”的重要指示精神，加快推进我县竹产业高质量</w:t>
      </w:r>
      <w:bookmarkStart w:id="0" w:name="_GoBack"/>
      <w:bookmarkEnd w:id="0"/>
      <w:r>
        <w:rPr>
          <w:rFonts w:hint="eastAsia" w:ascii="仿宋_GB2312" w:hAnsi="仿宋_GB2312" w:eastAsia="仿宋_GB2312" w:cs="仿宋_GB2312"/>
          <w:color w:val="auto"/>
          <w:sz w:val="32"/>
          <w:szCs w:val="32"/>
          <w:highlight w:val="none"/>
          <w:lang w:val="en-US" w:eastAsia="zh-CN"/>
        </w:rPr>
        <w:t>发展与农村产业深度融合，进一步优化营商环境，结合我县实际，制定本奖补实施方案。</w:t>
      </w:r>
    </w:p>
    <w:p w14:paraId="2CB0C7D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snapToGrid/>
          <w:color w:val="auto"/>
          <w:kern w:val="2"/>
          <w:sz w:val="32"/>
          <w:szCs w:val="32"/>
          <w:lang w:val="en-US" w:eastAsia="zh-CN"/>
        </w:rPr>
      </w:pPr>
      <w:r>
        <w:rPr>
          <w:rFonts w:hint="eastAsia" w:ascii="黑体" w:hAnsi="黑体" w:eastAsia="黑体" w:cs="黑体"/>
          <w:snapToGrid/>
          <w:color w:val="auto"/>
          <w:kern w:val="2"/>
          <w:sz w:val="32"/>
          <w:szCs w:val="32"/>
          <w:lang w:val="en-US" w:eastAsia="zh-CN"/>
        </w:rPr>
        <w:t>一、指导思想</w:t>
      </w:r>
    </w:p>
    <w:p w14:paraId="252430E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snapToGrid/>
          <w:color w:val="auto"/>
          <w:spacing w:val="0"/>
          <w:kern w:val="2"/>
          <w:sz w:val="32"/>
          <w:szCs w:val="32"/>
          <w:lang w:val="en-US" w:eastAsia="zh-CN"/>
        </w:rPr>
      </w:pPr>
      <w:r>
        <w:rPr>
          <w:rFonts w:hint="eastAsia" w:ascii="仿宋_GB2312" w:hAnsi="仿宋_GB2312" w:eastAsia="仿宋_GB2312" w:cs="仿宋_GB2312"/>
          <w:i w:val="0"/>
          <w:iCs w:val="0"/>
          <w:caps w:val="0"/>
          <w:snapToGrid/>
          <w:color w:val="auto"/>
          <w:spacing w:val="0"/>
          <w:kern w:val="2"/>
          <w:sz w:val="32"/>
          <w:szCs w:val="32"/>
          <w:lang w:val="en-US" w:eastAsia="zh-CN"/>
        </w:rPr>
        <w:t xml:space="preserve">以习近平新时代中国特色社会主义思想为指导，坚持“绿水 青山就是金山银山”生态发展理念，以市场需求为导向，以竹产 </w:t>
      </w:r>
    </w:p>
    <w:p w14:paraId="6AC51C3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i w:val="0"/>
          <w:iCs w:val="0"/>
          <w:caps w:val="0"/>
          <w:snapToGrid/>
          <w:color w:val="auto"/>
          <w:spacing w:val="0"/>
          <w:kern w:val="2"/>
          <w:sz w:val="32"/>
          <w:szCs w:val="32"/>
          <w:lang w:val="en-US" w:eastAsia="zh-CN"/>
        </w:rPr>
      </w:pPr>
      <w:r>
        <w:rPr>
          <w:rFonts w:hint="eastAsia" w:ascii="仿宋_GB2312" w:hAnsi="仿宋_GB2312" w:eastAsia="仿宋_GB2312" w:cs="仿宋_GB2312"/>
          <w:i w:val="0"/>
          <w:iCs w:val="0"/>
          <w:caps w:val="0"/>
          <w:snapToGrid/>
          <w:color w:val="auto"/>
          <w:spacing w:val="0"/>
          <w:kern w:val="2"/>
          <w:sz w:val="32"/>
          <w:szCs w:val="32"/>
          <w:lang w:val="en-US" w:eastAsia="zh-CN"/>
        </w:rPr>
        <w:t xml:space="preserve">业转型升级为目标。立足我县竹林资源优势、区位优势，通过竹林资源培育、主体培育壮大、生产要素集聚，落实“做强二产、 </w:t>
      </w:r>
    </w:p>
    <w:p w14:paraId="47C7359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i w:val="0"/>
          <w:iCs w:val="0"/>
          <w:caps w:val="0"/>
          <w:snapToGrid/>
          <w:color w:val="auto"/>
          <w:spacing w:val="0"/>
          <w:kern w:val="2"/>
          <w:sz w:val="32"/>
          <w:szCs w:val="32"/>
          <w:lang w:val="en-US" w:eastAsia="zh-CN"/>
        </w:rPr>
      </w:pPr>
      <w:r>
        <w:rPr>
          <w:rFonts w:hint="eastAsia" w:ascii="仿宋_GB2312" w:hAnsi="仿宋_GB2312" w:eastAsia="仿宋_GB2312" w:cs="仿宋_GB2312"/>
          <w:i w:val="0"/>
          <w:iCs w:val="0"/>
          <w:caps w:val="0"/>
          <w:snapToGrid/>
          <w:color w:val="auto"/>
          <w:spacing w:val="0"/>
          <w:kern w:val="2"/>
          <w:sz w:val="32"/>
          <w:szCs w:val="32"/>
          <w:lang w:val="en-US" w:eastAsia="zh-CN"/>
        </w:rPr>
        <w:t xml:space="preserve">促进一产、带动三产”的竹产业振兴发展思路，推动竹子加工产 </w:t>
      </w:r>
    </w:p>
    <w:p w14:paraId="43880E3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i w:val="0"/>
          <w:iCs w:val="0"/>
          <w:caps w:val="0"/>
          <w:snapToGrid/>
          <w:color w:val="auto"/>
          <w:spacing w:val="0"/>
          <w:kern w:val="2"/>
          <w:sz w:val="32"/>
          <w:szCs w:val="32"/>
          <w:lang w:val="en-US" w:eastAsia="zh-CN"/>
        </w:rPr>
      </w:pPr>
      <w:r>
        <w:rPr>
          <w:rFonts w:hint="eastAsia" w:ascii="仿宋_GB2312" w:hAnsi="仿宋_GB2312" w:eastAsia="仿宋_GB2312" w:cs="仿宋_GB2312"/>
          <w:i w:val="0"/>
          <w:iCs w:val="0"/>
          <w:caps w:val="0"/>
          <w:snapToGrid/>
          <w:color w:val="auto"/>
          <w:spacing w:val="0"/>
          <w:kern w:val="2"/>
          <w:sz w:val="32"/>
          <w:szCs w:val="32"/>
          <w:lang w:val="en-US" w:eastAsia="zh-CN"/>
        </w:rPr>
        <w:t xml:space="preserve">业向精深加工转型。逐步形成竹工贸一体化、一二三产融合发展 </w:t>
      </w:r>
    </w:p>
    <w:p w14:paraId="005ED64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i w:val="0"/>
          <w:iCs w:val="0"/>
          <w:caps w:val="0"/>
          <w:snapToGrid/>
          <w:color w:val="auto"/>
          <w:spacing w:val="0"/>
          <w:kern w:val="2"/>
          <w:sz w:val="32"/>
          <w:szCs w:val="32"/>
          <w:lang w:val="en-US" w:eastAsia="zh-CN"/>
        </w:rPr>
      </w:pPr>
      <w:r>
        <w:rPr>
          <w:rFonts w:hint="eastAsia" w:ascii="仿宋_GB2312" w:hAnsi="仿宋_GB2312" w:eastAsia="仿宋_GB2312" w:cs="仿宋_GB2312"/>
          <w:i w:val="0"/>
          <w:iCs w:val="0"/>
          <w:caps w:val="0"/>
          <w:snapToGrid/>
          <w:color w:val="auto"/>
          <w:spacing w:val="0"/>
          <w:kern w:val="2"/>
          <w:sz w:val="32"/>
          <w:szCs w:val="32"/>
          <w:lang w:val="en-US" w:eastAsia="zh-CN"/>
        </w:rPr>
        <w:t xml:space="preserve">的竹产业发展体系，实现经济效益、社会效益、生态效益的多赢 </w:t>
      </w:r>
    </w:p>
    <w:p w14:paraId="4801FC9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i w:val="0"/>
          <w:iCs w:val="0"/>
          <w:caps w:val="0"/>
          <w:snapToGrid/>
          <w:color w:val="auto"/>
          <w:spacing w:val="0"/>
          <w:kern w:val="2"/>
          <w:sz w:val="32"/>
          <w:szCs w:val="32"/>
          <w:lang w:val="en-US" w:eastAsia="zh-CN"/>
        </w:rPr>
      </w:pPr>
      <w:r>
        <w:rPr>
          <w:rFonts w:hint="eastAsia" w:ascii="仿宋_GB2312" w:hAnsi="仿宋_GB2312" w:eastAsia="仿宋_GB2312" w:cs="仿宋_GB2312"/>
          <w:i w:val="0"/>
          <w:iCs w:val="0"/>
          <w:caps w:val="0"/>
          <w:snapToGrid/>
          <w:color w:val="auto"/>
          <w:spacing w:val="0"/>
          <w:kern w:val="2"/>
          <w:sz w:val="32"/>
          <w:szCs w:val="32"/>
          <w:lang w:val="en-US" w:eastAsia="zh-CN"/>
        </w:rPr>
        <w:t xml:space="preserve">局面。 </w:t>
      </w:r>
    </w:p>
    <w:p w14:paraId="2806D32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val="en-US" w:eastAsia="zh-CN"/>
        </w:rPr>
        <w:t>二、</w:t>
      </w:r>
      <w:r>
        <w:rPr>
          <w:rFonts w:hint="eastAsia" w:ascii="黑体" w:hAnsi="黑体" w:eastAsia="黑体" w:cs="黑体"/>
          <w:snapToGrid/>
          <w:color w:val="auto"/>
          <w:kern w:val="2"/>
          <w:sz w:val="32"/>
          <w:szCs w:val="32"/>
          <w:lang w:eastAsia="zh-CN"/>
        </w:rPr>
        <w:t>奖补资金来源</w:t>
      </w:r>
    </w:p>
    <w:p w14:paraId="58D016C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lang w:eastAsia="zh-CN"/>
        </w:rPr>
      </w:pPr>
      <w:r>
        <w:rPr>
          <w:rFonts w:hint="eastAsia" w:ascii="仿宋_GB2312" w:hAnsi="仿宋_GB2312" w:eastAsia="仿宋_GB2312" w:cs="仿宋_GB2312"/>
          <w:i w:val="0"/>
          <w:iCs w:val="0"/>
          <w:caps w:val="0"/>
          <w:snapToGrid/>
          <w:color w:val="auto"/>
          <w:spacing w:val="0"/>
          <w:kern w:val="2"/>
          <w:sz w:val="32"/>
          <w:szCs w:val="32"/>
          <w:lang w:eastAsia="zh-CN"/>
        </w:rPr>
        <w:t>本级财政</w:t>
      </w:r>
      <w:r>
        <w:rPr>
          <w:rFonts w:hint="eastAsia" w:ascii="仿宋_GB2312" w:hAnsi="仿宋_GB2312" w:cs="仿宋_GB2312"/>
          <w:i w:val="0"/>
          <w:iCs w:val="0"/>
          <w:caps w:val="0"/>
          <w:snapToGrid/>
          <w:color w:val="auto"/>
          <w:spacing w:val="0"/>
          <w:kern w:val="2"/>
          <w:sz w:val="32"/>
          <w:szCs w:val="32"/>
          <w:lang w:eastAsia="zh-CN"/>
        </w:rPr>
        <w:t>、</w:t>
      </w:r>
      <w:r>
        <w:rPr>
          <w:rFonts w:hint="eastAsia" w:ascii="仿宋_GB2312" w:hAnsi="仿宋_GB2312" w:eastAsia="仿宋_GB2312" w:cs="仿宋_GB2312"/>
          <w:i w:val="0"/>
          <w:iCs w:val="0"/>
          <w:caps w:val="0"/>
          <w:snapToGrid/>
          <w:color w:val="auto"/>
          <w:spacing w:val="0"/>
          <w:kern w:val="2"/>
          <w:sz w:val="32"/>
          <w:szCs w:val="32"/>
          <w:lang w:eastAsia="zh-CN"/>
        </w:rPr>
        <w:t>上级资金</w:t>
      </w:r>
      <w:r>
        <w:rPr>
          <w:rFonts w:hint="eastAsia" w:ascii="仿宋_GB2312" w:hAnsi="仿宋_GB2312" w:eastAsia="仿宋_GB2312" w:cs="仿宋_GB2312"/>
          <w:i w:val="0"/>
          <w:iCs w:val="0"/>
          <w:caps w:val="0"/>
          <w:snapToGrid/>
          <w:color w:val="auto"/>
          <w:spacing w:val="0"/>
          <w:kern w:val="2"/>
          <w:sz w:val="32"/>
          <w:szCs w:val="32"/>
          <w:lang w:val="en-US" w:eastAsia="zh-CN"/>
        </w:rPr>
        <w:t>等各类资金</w:t>
      </w:r>
      <w:r>
        <w:rPr>
          <w:rFonts w:hint="eastAsia" w:ascii="仿宋_GB2312" w:hAnsi="仿宋_GB2312" w:eastAsia="仿宋_GB2312" w:cs="仿宋_GB2312"/>
          <w:i w:val="0"/>
          <w:iCs w:val="0"/>
          <w:caps w:val="0"/>
          <w:snapToGrid/>
          <w:color w:val="auto"/>
          <w:spacing w:val="0"/>
          <w:kern w:val="2"/>
          <w:sz w:val="32"/>
          <w:szCs w:val="32"/>
          <w:lang w:eastAsia="zh-CN"/>
        </w:rPr>
        <w:t>。</w:t>
      </w:r>
    </w:p>
    <w:p w14:paraId="212C633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val="en-US" w:eastAsia="zh-CN"/>
        </w:rPr>
        <w:t>三、</w:t>
      </w:r>
      <w:r>
        <w:rPr>
          <w:rFonts w:hint="eastAsia" w:ascii="黑体" w:hAnsi="黑体" w:eastAsia="黑体" w:cs="黑体"/>
          <w:snapToGrid/>
          <w:color w:val="auto"/>
          <w:kern w:val="2"/>
          <w:sz w:val="32"/>
          <w:szCs w:val="32"/>
          <w:lang w:eastAsia="zh-CN"/>
        </w:rPr>
        <w:t>奖补支持对象</w:t>
      </w:r>
    </w:p>
    <w:p w14:paraId="0001E1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snapToGrid/>
          <w:color w:val="auto"/>
          <w:spacing w:val="0"/>
          <w:kern w:val="2"/>
          <w:sz w:val="32"/>
          <w:szCs w:val="32"/>
          <w:lang w:eastAsia="zh-CN"/>
        </w:rPr>
      </w:pPr>
      <w:r>
        <w:rPr>
          <w:rFonts w:hint="eastAsia" w:ascii="仿宋_GB2312" w:hAnsi="仿宋_GB2312" w:eastAsia="仿宋_GB2312" w:cs="仿宋_GB2312"/>
          <w:i w:val="0"/>
          <w:iCs w:val="0"/>
          <w:caps w:val="0"/>
          <w:snapToGrid/>
          <w:color w:val="auto"/>
          <w:spacing w:val="0"/>
          <w:kern w:val="2"/>
          <w:sz w:val="32"/>
          <w:szCs w:val="32"/>
          <w:lang w:eastAsia="zh-CN"/>
        </w:rPr>
        <w:t>在新丰县内从事</w:t>
      </w:r>
      <w:r>
        <w:rPr>
          <w:rFonts w:hint="eastAsia" w:ascii="仿宋_GB2312" w:hAnsi="仿宋_GB2312" w:eastAsia="仿宋_GB2312" w:cs="仿宋_GB2312"/>
          <w:i w:val="0"/>
          <w:iCs w:val="0"/>
          <w:caps w:val="0"/>
          <w:snapToGrid/>
          <w:color w:val="auto"/>
          <w:spacing w:val="0"/>
          <w:kern w:val="2"/>
          <w:sz w:val="32"/>
          <w:szCs w:val="32"/>
          <w:lang w:val="en-US" w:eastAsia="zh-CN"/>
        </w:rPr>
        <w:t>竹子</w:t>
      </w:r>
      <w:r>
        <w:rPr>
          <w:rFonts w:hint="eastAsia" w:ascii="仿宋_GB2312" w:hAnsi="仿宋_GB2312" w:eastAsia="仿宋_GB2312" w:cs="仿宋_GB2312"/>
          <w:i w:val="0"/>
          <w:iCs w:val="0"/>
          <w:caps w:val="0"/>
          <w:snapToGrid/>
          <w:color w:val="auto"/>
          <w:spacing w:val="0"/>
          <w:kern w:val="2"/>
          <w:sz w:val="32"/>
          <w:szCs w:val="32"/>
          <w:lang w:eastAsia="zh-CN"/>
        </w:rPr>
        <w:t>生产或加工的合作社、家庭</w:t>
      </w:r>
      <w:r>
        <w:rPr>
          <w:rFonts w:hint="eastAsia" w:ascii="仿宋_GB2312" w:hAnsi="仿宋_GB2312" w:eastAsia="仿宋_GB2312" w:cs="仿宋_GB2312"/>
          <w:i w:val="0"/>
          <w:iCs w:val="0"/>
          <w:caps w:val="0"/>
          <w:snapToGrid/>
          <w:color w:val="auto"/>
          <w:spacing w:val="0"/>
          <w:kern w:val="2"/>
          <w:sz w:val="32"/>
          <w:szCs w:val="32"/>
          <w:lang w:val="en-US" w:eastAsia="zh-CN"/>
        </w:rPr>
        <w:t>林</w:t>
      </w:r>
      <w:r>
        <w:rPr>
          <w:rFonts w:hint="eastAsia" w:ascii="仿宋_GB2312" w:hAnsi="仿宋_GB2312" w:eastAsia="仿宋_GB2312" w:cs="仿宋_GB2312"/>
          <w:i w:val="0"/>
          <w:iCs w:val="0"/>
          <w:caps w:val="0"/>
          <w:snapToGrid/>
          <w:color w:val="auto"/>
          <w:spacing w:val="0"/>
          <w:kern w:val="2"/>
          <w:sz w:val="32"/>
          <w:szCs w:val="32"/>
          <w:lang w:eastAsia="zh-CN"/>
        </w:rPr>
        <w:t>场、</w:t>
      </w:r>
      <w:r>
        <w:rPr>
          <w:rFonts w:hint="eastAsia" w:ascii="仿宋_GB2312" w:hAnsi="仿宋_GB2312" w:eastAsia="仿宋_GB2312" w:cs="仿宋_GB2312"/>
          <w:i w:val="0"/>
          <w:iCs w:val="0"/>
          <w:caps w:val="0"/>
          <w:snapToGrid/>
          <w:color w:val="auto"/>
          <w:spacing w:val="0"/>
          <w:kern w:val="2"/>
          <w:sz w:val="32"/>
          <w:szCs w:val="32"/>
          <w:lang w:val="en-US" w:eastAsia="zh-CN"/>
        </w:rPr>
        <w:t>企业</w:t>
      </w:r>
      <w:r>
        <w:rPr>
          <w:rFonts w:hint="eastAsia" w:ascii="仿宋_GB2312" w:hAnsi="仿宋_GB2312" w:eastAsia="仿宋_GB2312" w:cs="仿宋_GB2312"/>
          <w:i w:val="0"/>
          <w:iCs w:val="0"/>
          <w:caps w:val="0"/>
          <w:snapToGrid/>
          <w:color w:val="auto"/>
          <w:spacing w:val="0"/>
          <w:kern w:val="2"/>
          <w:sz w:val="32"/>
          <w:szCs w:val="32"/>
          <w:lang w:eastAsia="zh-CN"/>
        </w:rPr>
        <w:t>等</w:t>
      </w:r>
      <w:r>
        <w:rPr>
          <w:rFonts w:hint="eastAsia" w:ascii="仿宋_GB2312" w:hAnsi="仿宋_GB2312" w:eastAsia="仿宋_GB2312" w:cs="仿宋_GB2312"/>
          <w:i w:val="0"/>
          <w:iCs w:val="0"/>
          <w:caps w:val="0"/>
          <w:snapToGrid/>
          <w:color w:val="auto"/>
          <w:spacing w:val="0"/>
          <w:kern w:val="2"/>
          <w:sz w:val="32"/>
          <w:szCs w:val="32"/>
          <w:lang w:val="en-US" w:eastAsia="zh-CN"/>
        </w:rPr>
        <w:t>经营主体</w:t>
      </w:r>
      <w:r>
        <w:rPr>
          <w:rFonts w:hint="eastAsia" w:ascii="仿宋_GB2312" w:hAnsi="仿宋_GB2312" w:eastAsia="仿宋_GB2312" w:cs="仿宋_GB2312"/>
          <w:i w:val="0"/>
          <w:iCs w:val="0"/>
          <w:caps w:val="0"/>
          <w:snapToGrid/>
          <w:color w:val="auto"/>
          <w:spacing w:val="0"/>
          <w:kern w:val="2"/>
          <w:sz w:val="32"/>
          <w:szCs w:val="32"/>
          <w:lang w:eastAsia="zh-CN"/>
        </w:rPr>
        <w:t>。</w:t>
      </w:r>
    </w:p>
    <w:p w14:paraId="27D1188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val="en-US" w:eastAsia="zh-CN"/>
        </w:rPr>
        <w:t>四、</w:t>
      </w:r>
      <w:r>
        <w:rPr>
          <w:rFonts w:hint="eastAsia" w:ascii="黑体" w:hAnsi="黑体" w:eastAsia="黑体" w:cs="黑体"/>
          <w:snapToGrid/>
          <w:color w:val="auto"/>
          <w:kern w:val="2"/>
          <w:sz w:val="32"/>
          <w:szCs w:val="32"/>
          <w:lang w:eastAsia="zh-CN"/>
        </w:rPr>
        <w:t>奖项及标准</w:t>
      </w:r>
    </w:p>
    <w:p w14:paraId="0621DC6D">
      <w:pPr>
        <w:pStyle w:val="5"/>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default"/>
          <w:color w:val="auto"/>
          <w:highlight w:val="none"/>
          <w:lang w:val="en-US" w:eastAsia="zh-CN"/>
        </w:rPr>
      </w:pP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（一）打造特</w:t>
      </w:r>
      <w:r>
        <w:rPr>
          <w:rFonts w:hint="eastAsia" w:ascii="Times New Roman" w:hAnsi="Times New Roman" w:eastAsia="楷体_GB2312" w:cs="Times New Roman"/>
          <w:b w:val="0"/>
          <w:bCs w:val="0"/>
          <w:i w:val="0"/>
          <w:iCs w:val="0"/>
          <w:caps w:val="0"/>
          <w:snapToGrid/>
          <w:color w:val="auto"/>
          <w:spacing w:val="0"/>
          <w:kern w:val="2"/>
          <w:sz w:val="32"/>
          <w:szCs w:val="32"/>
          <w:highlight w:val="none"/>
          <w:lang w:val="en-US" w:eastAsia="zh-CN" w:bidi="ar-SA"/>
        </w:rPr>
        <w:t>色加工产业。</w:t>
      </w:r>
      <w:r>
        <w:rPr>
          <w:rFonts w:hint="eastAsia" w:ascii="仿宋_GB2312" w:hAnsi="仿宋_GB2312" w:eastAsia="仿宋_GB2312" w:cs="仿宋_GB2312"/>
          <w:color w:val="auto"/>
          <w:sz w:val="32"/>
          <w:szCs w:val="32"/>
          <w:highlight w:val="none"/>
          <w:lang w:val="en-US" w:eastAsia="zh-CN"/>
        </w:rPr>
        <w:t>鼓励</w:t>
      </w:r>
      <w:r>
        <w:rPr>
          <w:rFonts w:hint="eastAsia" w:ascii="仿宋_GB2312" w:hAnsi="仿宋_GB2312" w:eastAsia="仿宋_GB2312" w:cs="仿宋_GB2312"/>
          <w:color w:val="auto"/>
          <w:kern w:val="2"/>
          <w:sz w:val="32"/>
          <w:szCs w:val="32"/>
          <w:highlight w:val="none"/>
          <w:lang w:val="en-US" w:eastAsia="zh-CN" w:bidi="ar-SA"/>
        </w:rPr>
        <w:t>经营主体充分利用县内竹资源进行</w:t>
      </w:r>
      <w:r>
        <w:rPr>
          <w:rFonts w:hint="eastAsia" w:ascii="仿宋_GB2312" w:hAnsi="仿宋_GB2312" w:eastAsia="仿宋_GB2312" w:cs="仿宋_GB2312"/>
          <w:i w:val="0"/>
          <w:iCs w:val="0"/>
          <w:caps w:val="0"/>
          <w:color w:val="auto"/>
          <w:spacing w:val="0"/>
          <w:kern w:val="2"/>
          <w:sz w:val="32"/>
          <w:szCs w:val="32"/>
          <w:highlight w:val="none"/>
          <w:shd w:val="clear" w:color="auto" w:fill="FFFFFF"/>
          <w:vertAlign w:val="baseline"/>
          <w:lang w:val="en-US" w:eastAsia="zh-CN" w:bidi="ar-SA"/>
        </w:rPr>
        <w:t>深加工</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i w:val="0"/>
          <w:iCs w:val="0"/>
          <w:caps w:val="0"/>
          <w:color w:val="auto"/>
          <w:spacing w:val="0"/>
          <w:kern w:val="2"/>
          <w:sz w:val="32"/>
          <w:szCs w:val="32"/>
          <w:highlight w:val="none"/>
          <w:shd w:val="clear" w:color="auto" w:fill="FFFFFF"/>
          <w:vertAlign w:val="baseline"/>
          <w:lang w:val="en-US" w:eastAsia="zh-CN" w:bidi="ar-SA"/>
        </w:rPr>
        <w:t>对新引进的竹板材、竹纤维、竹餐具、竹笋食品、竹包装等工业类竹加工经营主体</w:t>
      </w:r>
      <w:r>
        <w:rPr>
          <w:rFonts w:hint="eastAsia" w:ascii="仿宋_GB2312" w:hAnsi="仿宋_GB2312" w:eastAsia="仿宋_GB2312" w:cs="仿宋_GB2312"/>
          <w:i w:val="0"/>
          <w:iCs w:val="0"/>
          <w:caps w:val="0"/>
          <w:color w:val="auto"/>
          <w:spacing w:val="0"/>
          <w:kern w:val="2"/>
          <w:sz w:val="32"/>
          <w:szCs w:val="32"/>
          <w:highlight w:val="none"/>
          <w:shd w:val="clear" w:color="auto" w:fill="FFFFFF"/>
          <w:vertAlign w:val="baseline"/>
          <w:lang w:val="en-US" w:eastAsia="zh-CN" w:bidi="ar-SA"/>
        </w:rPr>
        <w:t>，实际固定资产投资额达500万元以上的，奖励10万元；达1000万元以上的，奖励20万元；达2000万元以上的，奖励30万元；达3000万元以上的，奖励50万元。</w:t>
      </w:r>
      <w:r>
        <w:rPr>
          <w:rFonts w:hint="eastAsia" w:ascii="仿宋_GB2312" w:hAnsi="仿宋_GB2312" w:eastAsia="仿宋_GB2312" w:cs="仿宋_GB2312"/>
          <w:b/>
          <w:bCs/>
          <w:color w:val="auto"/>
          <w:sz w:val="32"/>
          <w:szCs w:val="32"/>
          <w:highlight w:val="none"/>
          <w:lang w:val="en-US" w:eastAsia="zh-CN"/>
        </w:rPr>
        <w:t>（牵头单位：县工信局；责任单位：县林业局、县统计局、县财政局、县农业农村局、各镇（街）） </w:t>
      </w:r>
    </w:p>
    <w:p w14:paraId="76A8614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（二）支持竹加工企业加快发展。</w:t>
      </w:r>
      <w:r>
        <w:rPr>
          <w:rFonts w:hint="eastAsia" w:ascii="仿宋_GB2312" w:hAnsi="仿宋_GB2312" w:eastAsia="仿宋_GB2312" w:cs="仿宋_GB2312"/>
          <w:color w:val="auto"/>
          <w:kern w:val="2"/>
          <w:sz w:val="32"/>
          <w:szCs w:val="32"/>
          <w:highlight w:val="none"/>
          <w:lang w:val="en-US" w:eastAsia="zh-CN" w:bidi="ar-SA"/>
        </w:rPr>
        <w:t>支持竹材加工、竹笋食品加工等竹子加工企业扩大生产规模。对规模以下竹加工企业转为规模以上企业（年产值2000万元以上）的，一次性奖励10万元。对规模以上竹加工企业工业增加值增长25%及以上的，奖励工业增加值新增部分的2%资金，最高奖励不超过10万元。</w:t>
      </w:r>
      <w:r>
        <w:rPr>
          <w:rFonts w:hint="eastAsia" w:ascii="仿宋_GB2312" w:hAnsi="仿宋_GB2312" w:eastAsia="仿宋_GB2312" w:cs="仿宋_GB2312"/>
          <w:b/>
          <w:bCs/>
          <w:color w:val="auto"/>
          <w:kern w:val="2"/>
          <w:sz w:val="32"/>
          <w:szCs w:val="32"/>
          <w:highlight w:val="none"/>
          <w:lang w:val="en-US" w:eastAsia="zh-CN" w:bidi="ar-SA"/>
        </w:rPr>
        <w:t>（牵头单位：县工信局；责任单位：县林业局、</w:t>
      </w:r>
      <w:r>
        <w:rPr>
          <w:rFonts w:hint="eastAsia" w:ascii="仿宋_GB2312" w:hAnsi="仿宋_GB2312" w:eastAsia="仿宋_GB2312" w:cs="仿宋_GB2312"/>
          <w:b/>
          <w:bCs/>
          <w:color w:val="auto"/>
          <w:sz w:val="32"/>
          <w:szCs w:val="32"/>
          <w:highlight w:val="none"/>
          <w:lang w:val="en-US" w:eastAsia="zh-CN"/>
        </w:rPr>
        <w:t>县统计局、</w:t>
      </w:r>
      <w:r>
        <w:rPr>
          <w:rFonts w:hint="eastAsia" w:ascii="仿宋_GB2312" w:hAnsi="仿宋_GB2312" w:eastAsia="仿宋_GB2312" w:cs="仿宋_GB2312"/>
          <w:b/>
          <w:bCs/>
          <w:color w:val="auto"/>
          <w:kern w:val="2"/>
          <w:sz w:val="32"/>
          <w:szCs w:val="32"/>
          <w:highlight w:val="none"/>
          <w:lang w:val="en-US" w:eastAsia="zh-CN" w:bidi="ar-SA"/>
        </w:rPr>
        <w:t>县财政局、县农业农村局</w:t>
      </w:r>
      <w:r>
        <w:rPr>
          <w:rFonts w:hint="eastAsia" w:ascii="仿宋_GB2312" w:hAnsi="仿宋_GB2312" w:eastAsia="仿宋_GB2312" w:cs="仿宋_GB2312"/>
          <w:b/>
          <w:bCs/>
          <w:color w:val="auto"/>
          <w:sz w:val="32"/>
          <w:szCs w:val="32"/>
          <w:highlight w:val="none"/>
          <w:lang w:val="en-US" w:eastAsia="zh-CN"/>
        </w:rPr>
        <w:t>、各镇（街）</w:t>
      </w:r>
      <w:r>
        <w:rPr>
          <w:rFonts w:hint="eastAsia" w:ascii="仿宋_GB2312" w:hAnsi="仿宋_GB2312" w:eastAsia="仿宋_GB2312" w:cs="仿宋_GB2312"/>
          <w:b/>
          <w:bCs/>
          <w:color w:val="auto"/>
          <w:kern w:val="2"/>
          <w:sz w:val="32"/>
          <w:szCs w:val="32"/>
          <w:highlight w:val="none"/>
          <w:lang w:val="en-US" w:eastAsia="zh-CN" w:bidi="ar-SA"/>
        </w:rPr>
        <w:t xml:space="preserve">）  </w:t>
      </w:r>
    </w:p>
    <w:p w14:paraId="1842C29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（三）支持公共品牌建设。</w:t>
      </w:r>
      <w:r>
        <w:rPr>
          <w:rFonts w:hint="eastAsia" w:ascii="仿宋_GB2312" w:hAnsi="仿宋_GB2312" w:eastAsia="仿宋_GB2312" w:cs="仿宋_GB2312"/>
          <w:color w:val="auto"/>
          <w:kern w:val="2"/>
          <w:sz w:val="32"/>
          <w:szCs w:val="32"/>
          <w:highlight w:val="none"/>
          <w:lang w:val="en-US" w:eastAsia="zh-CN" w:bidi="ar-SA"/>
        </w:rPr>
        <w:t>鼓励县内本地竹加工经营主体注册品牌商标。对新申请竹相关的中国地理标志证明商标或中国地理标志集体商标竹加工经营主体，给予一次性奖励10万元。</w:t>
      </w:r>
      <w:r>
        <w:rPr>
          <w:rFonts w:hint="eastAsia" w:ascii="仿宋_GB2312" w:hAnsi="仿宋_GB2312" w:eastAsia="仿宋_GB2312" w:cs="仿宋_GB2312"/>
          <w:b/>
          <w:bCs/>
          <w:color w:val="auto"/>
          <w:kern w:val="2"/>
          <w:sz w:val="32"/>
          <w:szCs w:val="32"/>
          <w:highlight w:val="none"/>
          <w:lang w:val="en-US" w:eastAsia="zh-CN" w:bidi="ar-SA"/>
        </w:rPr>
        <w:t>（牵头单位：县市场监管局；责任单位：县财政局、县文广旅体局、县林业局、县农业农村局）</w:t>
      </w:r>
    </w:p>
    <w:p w14:paraId="59C00D7F">
      <w:pPr>
        <w:pStyle w:val="5"/>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default"/>
          <w:color w:val="auto"/>
          <w:highlight w:val="none"/>
          <w:lang w:val="en-US" w:eastAsia="zh-CN"/>
        </w:rPr>
      </w:pP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（四）打造新型林业主体。</w:t>
      </w:r>
      <w:r>
        <w:rPr>
          <w:rFonts w:hint="eastAsia" w:ascii="仿宋_GB2312" w:hAnsi="仿宋_GB2312" w:eastAsia="仿宋_GB2312" w:cs="仿宋_GB2312"/>
          <w:color w:val="auto"/>
          <w:kern w:val="2"/>
          <w:sz w:val="32"/>
          <w:szCs w:val="32"/>
          <w:highlight w:val="none"/>
          <w:lang w:val="en-US" w:eastAsia="zh-CN" w:bidi="ar-SA"/>
        </w:rPr>
        <w:t>立足县内竹林资源，支持建设科普示范、研学观光、自助挖采、度假休闲等“竹文化＋”新型主体，对合法经营且通过评定的竹文创馆、竹编竹工艺作坊，每个一次性补助3万元，每年评选不超过5个。</w:t>
      </w:r>
      <w:r>
        <w:rPr>
          <w:rFonts w:hint="eastAsia" w:ascii="仿宋_GB2312" w:hAnsi="仿宋_GB2312" w:eastAsia="仿宋_GB2312" w:cs="仿宋_GB2312"/>
          <w:b/>
          <w:bCs/>
          <w:color w:val="auto"/>
          <w:kern w:val="2"/>
          <w:sz w:val="32"/>
          <w:szCs w:val="32"/>
          <w:highlight w:val="none"/>
          <w:lang w:val="en-US" w:eastAsia="zh-CN" w:bidi="ar-SA"/>
        </w:rPr>
        <w:t>（牵头单位：县林业局；责任单位：县财政局、县文广旅体局、</w:t>
      </w:r>
      <w:r>
        <w:rPr>
          <w:rFonts w:hint="eastAsia" w:ascii="仿宋_GB2312" w:hAnsi="仿宋_GB2312" w:eastAsia="仿宋_GB2312" w:cs="仿宋_GB2312"/>
          <w:b/>
          <w:bCs/>
          <w:color w:val="auto"/>
          <w:sz w:val="32"/>
          <w:szCs w:val="32"/>
          <w:highlight w:val="none"/>
          <w:lang w:val="en-US" w:eastAsia="zh-CN"/>
        </w:rPr>
        <w:t>各镇（街）</w:t>
      </w:r>
      <w:r>
        <w:rPr>
          <w:rFonts w:hint="eastAsia" w:ascii="仿宋_GB2312" w:hAnsi="仿宋_GB2312" w:eastAsia="仿宋_GB2312" w:cs="仿宋_GB2312"/>
          <w:b/>
          <w:bCs/>
          <w:color w:val="auto"/>
          <w:kern w:val="2"/>
          <w:sz w:val="32"/>
          <w:szCs w:val="32"/>
          <w:highlight w:val="none"/>
          <w:lang w:val="en-US" w:eastAsia="zh-CN" w:bidi="ar-SA"/>
        </w:rPr>
        <w:t>）</w:t>
      </w:r>
    </w:p>
    <w:p w14:paraId="32BA81A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（五）支持农机购置与技术改造。</w:t>
      </w:r>
      <w:r>
        <w:rPr>
          <w:rFonts w:hint="eastAsia" w:ascii="仿宋_GB2312" w:hAnsi="仿宋_GB2312" w:eastAsia="仿宋_GB2312" w:cs="仿宋_GB2312"/>
          <w:color w:val="auto"/>
          <w:kern w:val="2"/>
          <w:sz w:val="32"/>
          <w:szCs w:val="32"/>
          <w:highlight w:val="none"/>
          <w:lang w:val="en-US" w:eastAsia="zh-CN" w:bidi="ar-SA"/>
        </w:rPr>
        <w:t>支持经营者对微型耕耘机、旋耕机、圆盘耙、轨道运输机、保鲜储藏设备、烘干</w:t>
      </w:r>
      <w:r>
        <w:rPr>
          <w:rFonts w:hint="default" w:ascii="仿宋_GB2312" w:hAnsi="仿宋_GB2312" w:eastAsia="仿宋_GB2312" w:cs="仿宋_GB2312"/>
          <w:color w:val="auto"/>
          <w:kern w:val="2"/>
          <w:sz w:val="32"/>
          <w:szCs w:val="32"/>
          <w:highlight w:val="none"/>
          <w:lang w:val="en-US" w:eastAsia="zh-CN" w:bidi="ar-SA"/>
        </w:rPr>
        <w:t>机</w:t>
      </w:r>
      <w:r>
        <w:rPr>
          <w:rFonts w:hint="eastAsia" w:ascii="仿宋_GB2312" w:hAnsi="仿宋_GB2312" w:eastAsia="仿宋_GB2312" w:cs="仿宋_GB2312"/>
          <w:color w:val="auto"/>
          <w:kern w:val="2"/>
          <w:sz w:val="32"/>
          <w:szCs w:val="32"/>
          <w:highlight w:val="none"/>
          <w:lang w:val="en-US" w:eastAsia="zh-CN" w:bidi="ar-SA"/>
        </w:rPr>
        <w:t>等耕种、加工、保存的竹材机械设备购置与更新，对广东省农业农村厅印发的农机购置与应用补贴机具种类范围内的，按照文件补贴额进行补贴。</w:t>
      </w:r>
      <w:r>
        <w:rPr>
          <w:rFonts w:hint="eastAsia" w:ascii="仿宋_GB2312" w:hAnsi="仿宋_GB2312" w:eastAsia="仿宋_GB2312" w:cs="仿宋_GB2312"/>
          <w:b/>
          <w:bCs/>
          <w:color w:val="auto"/>
          <w:sz w:val="32"/>
          <w:szCs w:val="32"/>
          <w:highlight w:val="none"/>
          <w:lang w:val="en-US" w:eastAsia="zh-CN"/>
        </w:rPr>
        <w:t>（牵头单位：县农业农村局；责任单位：县林业局、各镇（街）） </w:t>
      </w:r>
    </w:p>
    <w:p w14:paraId="419F86DE">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（六）积极申报各类评选。</w:t>
      </w:r>
      <w:r>
        <w:rPr>
          <w:rFonts w:hint="eastAsia" w:ascii="仿宋_GB2312" w:hAnsi="仿宋_GB2312" w:eastAsia="仿宋_GB2312" w:cs="仿宋_GB2312"/>
          <w:color w:val="auto"/>
          <w:kern w:val="2"/>
          <w:sz w:val="32"/>
          <w:szCs w:val="32"/>
          <w:highlight w:val="none"/>
          <w:lang w:val="en-US" w:eastAsia="zh-CN" w:bidi="ar-SA"/>
        </w:rPr>
        <w:t>鼓励符合条件的竹类经营主体积极申报龙头企业、林下经济示范基地、森林康养基地、南粤森林人家以及林业专业合作社示范社。经培育竹类经营主体新评为省级龙头企业、林下经济示范基地或以竹子为主题的森林康养基地的，一次性奖励5万元；新评为国家级、省级示范性专业合作社分别奖励10万元、5万元。</w:t>
      </w:r>
      <w:r>
        <w:rPr>
          <w:rFonts w:hint="eastAsia" w:ascii="仿宋_GB2312" w:hAnsi="仿宋_GB2312" w:eastAsia="仿宋_GB2312" w:cs="仿宋_GB2312"/>
          <w:b/>
          <w:bCs/>
          <w:color w:val="auto"/>
          <w:kern w:val="2"/>
          <w:sz w:val="32"/>
          <w:szCs w:val="32"/>
          <w:highlight w:val="none"/>
          <w:lang w:val="en-US" w:eastAsia="zh-CN" w:bidi="ar-SA"/>
        </w:rPr>
        <w:t>（牵头单位：县林业局、县农业农村局；责任单位：县工信局、县财政局、县文广旅体局）</w:t>
      </w:r>
    </w:p>
    <w:p w14:paraId="5D15DF71">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（七）支持企业贷款贴息。</w:t>
      </w:r>
      <w:r>
        <w:rPr>
          <w:rFonts w:hint="eastAsia" w:ascii="仿宋_GB2312" w:hAnsi="仿宋_GB2312" w:eastAsia="仿宋_GB2312" w:cs="仿宋_GB2312"/>
          <w:color w:val="auto"/>
          <w:kern w:val="2"/>
          <w:sz w:val="32"/>
          <w:szCs w:val="32"/>
          <w:highlight w:val="none"/>
          <w:lang w:val="en-US" w:eastAsia="zh-CN" w:bidi="ar-SA"/>
        </w:rPr>
        <w:t>鼓励银行业金融机构拓展融资方式，结合“信易贷”金融服务平台等，降低融资成本，健全林银、林保协同机制，为竹业企业融资提供服务。鼓励银行机构开发“竹林贷”，创新林权抵押贷款模式，简化贷款审批程序，加大信贷投放力度。推动政府制定林业贷款贴息政策，完善现代林业金融体系，推进竹产业高质量发展。</w:t>
      </w:r>
      <w:r>
        <w:rPr>
          <w:rFonts w:hint="eastAsia" w:ascii="仿宋_GB2312" w:hAnsi="仿宋_GB2312" w:eastAsia="仿宋_GB2312" w:cs="仿宋_GB2312"/>
          <w:b/>
          <w:bCs/>
          <w:color w:val="auto"/>
          <w:kern w:val="2"/>
          <w:sz w:val="32"/>
          <w:szCs w:val="32"/>
          <w:highlight w:val="none"/>
          <w:lang w:val="en-US" w:eastAsia="zh-CN" w:bidi="ar-SA"/>
        </w:rPr>
        <w:t>（牵头单位：新丰金融监管支局；责任单位：县林业局）</w:t>
      </w:r>
    </w:p>
    <w:p w14:paraId="69CE51F2">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（八）加大用地支持力度。</w:t>
      </w:r>
      <w:r>
        <w:rPr>
          <w:rFonts w:hint="eastAsia" w:ascii="仿宋_GB2312" w:hAnsi="仿宋_GB2312" w:eastAsia="仿宋_GB2312" w:cs="仿宋_GB2312"/>
          <w:color w:val="auto"/>
          <w:kern w:val="2"/>
          <w:sz w:val="32"/>
          <w:szCs w:val="32"/>
          <w:highlight w:val="none"/>
          <w:lang w:val="en-US" w:eastAsia="zh-CN" w:bidi="ar-SA"/>
        </w:rPr>
        <w:t>对竹企业落户新丰的，所需的建设用地、林业用地当年依法依规按程序给予优先安排用地指标</w:t>
      </w: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w:t>
      </w:r>
      <w:r>
        <w:rPr>
          <w:rFonts w:hint="eastAsia" w:ascii="仿宋_GB2312" w:hAnsi="仿宋_GB2312" w:eastAsia="仿宋_GB2312" w:cs="仿宋_GB2312"/>
          <w:b/>
          <w:bCs/>
          <w:color w:val="auto"/>
          <w:kern w:val="2"/>
          <w:sz w:val="32"/>
          <w:szCs w:val="32"/>
          <w:highlight w:val="none"/>
          <w:lang w:val="en-US" w:eastAsia="zh-CN" w:bidi="ar-SA"/>
        </w:rPr>
        <w:t>（牵头单位：县自然资源局、县林业局)</w:t>
      </w:r>
    </w:p>
    <w:p w14:paraId="18162B6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snapToGrid/>
          <w:color w:val="auto"/>
          <w:kern w:val="2"/>
          <w:sz w:val="32"/>
          <w:szCs w:val="32"/>
          <w:lang w:val="en-US" w:eastAsia="zh-CN"/>
        </w:rPr>
      </w:pPr>
      <w:r>
        <w:rPr>
          <w:rFonts w:hint="eastAsia" w:ascii="黑体" w:hAnsi="黑体" w:eastAsia="黑体" w:cs="黑体"/>
          <w:snapToGrid/>
          <w:color w:val="auto"/>
          <w:kern w:val="2"/>
          <w:sz w:val="32"/>
          <w:szCs w:val="32"/>
          <w:lang w:val="en-US" w:eastAsia="zh-CN"/>
        </w:rPr>
        <w:t>五、奖励兑现</w:t>
      </w:r>
    </w:p>
    <w:p w14:paraId="6B7DE39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i w:val="0"/>
          <w:iCs w:val="0"/>
          <w:caps w:val="0"/>
          <w:snapToGrid/>
          <w:color w:val="auto"/>
          <w:spacing w:val="0"/>
          <w:kern w:val="2"/>
          <w:sz w:val="32"/>
          <w:szCs w:val="32"/>
          <w:lang w:val="en-US" w:eastAsia="zh-CN" w:bidi="ar-SA"/>
        </w:rPr>
        <w:t>涉及本《方案》的项目，以先建后补形式进行奖补，</w:t>
      </w:r>
      <w:r>
        <w:rPr>
          <w:rFonts w:hint="eastAsia" w:ascii="仿宋_GB2312" w:hAnsi="仿宋_GB2312" w:eastAsia="仿宋_GB2312" w:cs="仿宋_GB2312"/>
          <w:color w:val="auto"/>
          <w:kern w:val="2"/>
          <w:sz w:val="32"/>
          <w:szCs w:val="32"/>
          <w:highlight w:val="none"/>
          <w:lang w:val="en-US" w:eastAsia="zh-CN" w:bidi="ar-SA"/>
        </w:rPr>
        <w:t>申报奖补的合作社、家庭林场、企业须如实、完整、及时地向对应奖项的</w:t>
      </w:r>
      <w:r>
        <w:rPr>
          <w:rFonts w:hint="eastAsia" w:ascii="仿宋_GB2312" w:hAnsi="仿宋_GB2312" w:eastAsia="仿宋_GB2312" w:cs="仿宋_GB2312"/>
          <w:i w:val="0"/>
          <w:iCs w:val="0"/>
          <w:caps w:val="0"/>
          <w:snapToGrid/>
          <w:color w:val="auto"/>
          <w:spacing w:val="0"/>
          <w:kern w:val="2"/>
          <w:sz w:val="32"/>
          <w:szCs w:val="32"/>
          <w:highlight w:val="none"/>
          <w:lang w:val="en-US" w:eastAsia="zh-CN" w:bidi="ar-SA"/>
        </w:rPr>
        <w:t>牵头单位</w:t>
      </w:r>
      <w:r>
        <w:rPr>
          <w:rFonts w:hint="eastAsia" w:ascii="仿宋_GB2312" w:hAnsi="仿宋_GB2312" w:eastAsia="仿宋_GB2312" w:cs="仿宋_GB2312"/>
          <w:color w:val="auto"/>
          <w:kern w:val="2"/>
          <w:sz w:val="32"/>
          <w:szCs w:val="32"/>
          <w:highlight w:val="none"/>
          <w:lang w:val="en-US" w:eastAsia="zh-CN" w:bidi="ar-SA"/>
        </w:rPr>
        <w:t>提供申请所需的资料，由各奖项的牵头单位组织申报、审定及验收，经县财政局审批后兑现奖励资金，并报新丰县茶产业和竹产业高质量发展工作专班备案。</w:t>
      </w:r>
    </w:p>
    <w:p w14:paraId="11A42FA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lang w:val="en-US" w:eastAsia="zh-CN" w:bidi="ar-SA"/>
        </w:rPr>
      </w:pPr>
      <w:r>
        <w:rPr>
          <w:rFonts w:hint="eastAsia" w:ascii="仿宋_GB2312" w:hAnsi="仿宋_GB2312" w:eastAsia="仿宋_GB2312" w:cs="仿宋_GB2312"/>
          <w:i w:val="0"/>
          <w:iCs w:val="0"/>
          <w:caps w:val="0"/>
          <w:snapToGrid/>
          <w:color w:val="auto"/>
          <w:spacing w:val="0"/>
          <w:kern w:val="2"/>
          <w:sz w:val="32"/>
          <w:szCs w:val="32"/>
          <w:lang w:val="en-US" w:eastAsia="zh-CN" w:bidi="ar-SA"/>
        </w:rPr>
        <w:t>已享受中央、省、市出台的同类政策专项资金支持的项目，本《方案》不再重复奖补；县农业农村、工信、文广旅体等部门出台同类政策的，本着“就高不就低”的原则享受奖补。</w:t>
      </w:r>
    </w:p>
    <w:p w14:paraId="5AA251C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iCs w:val="0"/>
          <w:caps w:val="0"/>
          <w:snapToGrid/>
          <w:color w:val="auto"/>
          <w:spacing w:val="0"/>
          <w:kern w:val="2"/>
          <w:sz w:val="32"/>
          <w:szCs w:val="32"/>
          <w:lang w:val="en-US" w:eastAsia="zh-CN" w:bidi="ar-SA"/>
        </w:rPr>
      </w:pPr>
      <w:r>
        <w:rPr>
          <w:rFonts w:hint="eastAsia" w:ascii="仿宋_GB2312" w:hAnsi="仿宋_GB2312" w:eastAsia="仿宋_GB2312" w:cs="仿宋_GB2312"/>
          <w:i w:val="0"/>
          <w:iCs w:val="0"/>
          <w:caps w:val="0"/>
          <w:snapToGrid/>
          <w:color w:val="auto"/>
          <w:spacing w:val="0"/>
          <w:kern w:val="2"/>
          <w:sz w:val="32"/>
          <w:szCs w:val="32"/>
          <w:lang w:val="en-US" w:eastAsia="zh-CN" w:bidi="ar-SA"/>
        </w:rPr>
        <w:t>同一经营主体、同一地址、同一项目不得重复申请；同一经营主体三年累计奖补资金不超过200万元；如使用县级产业发展基金，原则上当年产业基金发展农口线累计使用额度不超过1000万。</w:t>
      </w:r>
    </w:p>
    <w:p w14:paraId="7806A73C">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管理及奖补程序</w:t>
      </w:r>
    </w:p>
    <w:p w14:paraId="4363E64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（一）补贴申报</w:t>
      </w:r>
    </w:p>
    <w:p w14:paraId="052FAA9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1.申报规定。</w:t>
      </w:r>
      <w:r>
        <w:rPr>
          <w:rFonts w:hint="eastAsia" w:ascii="仿宋_GB2312" w:hAnsi="仿宋_GB2312" w:eastAsia="仿宋_GB2312" w:cs="仿宋_GB2312"/>
          <w:snapToGrid w:val="0"/>
          <w:color w:val="auto"/>
          <w:spacing w:val="-10"/>
          <w:kern w:val="0"/>
          <w:sz w:val="32"/>
          <w:szCs w:val="32"/>
          <w:lang w:eastAsia="en-US"/>
        </w:rPr>
        <w:t>每年申报截止日期为</w:t>
      </w:r>
      <w:r>
        <w:rPr>
          <w:rFonts w:hint="eastAsia" w:ascii="仿宋_GB2312" w:hAnsi="仿宋_GB2312" w:eastAsia="仿宋_GB2312" w:cs="仿宋_GB2312"/>
          <w:snapToGrid w:val="0"/>
          <w:color w:val="auto"/>
          <w:spacing w:val="-10"/>
          <w:kern w:val="0"/>
          <w:sz w:val="32"/>
          <w:szCs w:val="32"/>
          <w:lang w:val="en-US" w:eastAsia="zh-CN"/>
        </w:rPr>
        <w:t>当年</w:t>
      </w:r>
      <w:r>
        <w:rPr>
          <w:rFonts w:hint="eastAsia" w:ascii="仿宋_GB2312" w:hAnsi="仿宋_GB2312" w:eastAsia="仿宋_GB2312" w:cs="仿宋_GB2312"/>
          <w:snapToGrid w:val="0"/>
          <w:color w:val="auto"/>
          <w:spacing w:val="-43"/>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en-US"/>
        </w:rPr>
        <w:t>12</w:t>
      </w:r>
      <w:r>
        <w:rPr>
          <w:rFonts w:hint="eastAsia" w:ascii="仿宋_GB2312" w:hAnsi="仿宋_GB2312" w:eastAsia="仿宋_GB2312" w:cs="仿宋_GB2312"/>
          <w:snapToGrid w:val="0"/>
          <w:color w:val="auto"/>
          <w:spacing w:val="-46"/>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en-US"/>
        </w:rPr>
        <w:t>月3</w:t>
      </w:r>
      <w:r>
        <w:rPr>
          <w:rFonts w:hint="eastAsia" w:ascii="仿宋_GB2312" w:hAnsi="仿宋_GB2312" w:eastAsia="仿宋_GB2312" w:cs="仿宋_GB2312"/>
          <w:snapToGrid w:val="0"/>
          <w:color w:val="auto"/>
          <w:spacing w:val="-10"/>
          <w:kern w:val="0"/>
          <w:sz w:val="32"/>
          <w:szCs w:val="32"/>
          <w:lang w:val="en-US" w:eastAsia="zh-CN"/>
        </w:rPr>
        <w:t>1</w:t>
      </w:r>
      <w:r>
        <w:rPr>
          <w:rFonts w:hint="eastAsia" w:ascii="仿宋_GB2312" w:hAnsi="仿宋_GB2312" w:eastAsia="仿宋_GB2312" w:cs="仿宋_GB2312"/>
          <w:snapToGrid w:val="0"/>
          <w:color w:val="auto"/>
          <w:spacing w:val="-10"/>
          <w:kern w:val="0"/>
          <w:sz w:val="32"/>
          <w:szCs w:val="32"/>
          <w:lang w:eastAsia="en-US"/>
        </w:rPr>
        <w:t>日</w:t>
      </w:r>
      <w:r>
        <w:rPr>
          <w:rFonts w:hint="eastAsia" w:ascii="仿宋_GB2312" w:hAnsi="仿宋_GB2312" w:eastAsia="仿宋_GB2312" w:cs="仿宋_GB2312"/>
          <w:snapToGrid w:val="0"/>
          <w:color w:val="auto"/>
          <w:spacing w:val="-11"/>
          <w:kern w:val="0"/>
          <w:sz w:val="32"/>
          <w:szCs w:val="32"/>
          <w:lang w:eastAsia="en-US"/>
        </w:rPr>
        <w:t>前，</w:t>
      </w:r>
      <w:r>
        <w:rPr>
          <w:rFonts w:hint="eastAsia" w:ascii="仿宋_GB2312" w:hAnsi="仿宋_GB2312" w:eastAsia="仿宋_GB2312" w:cs="仿宋_GB2312"/>
          <w:snapToGrid w:val="0"/>
          <w:color w:val="auto"/>
          <w:spacing w:val="-11"/>
          <w:kern w:val="0"/>
          <w:sz w:val="32"/>
          <w:szCs w:val="32"/>
          <w:lang w:val="en-US" w:eastAsia="zh-CN"/>
        </w:rPr>
        <w:t>由</w:t>
      </w:r>
      <w:r>
        <w:rPr>
          <w:rFonts w:hint="eastAsia" w:ascii="仿宋_GB2312" w:hAnsi="仿宋_GB2312" w:eastAsia="仿宋_GB2312" w:cs="仿宋_GB2312"/>
          <w:snapToGrid w:val="0"/>
          <w:color w:val="auto"/>
          <w:spacing w:val="-6"/>
          <w:kern w:val="0"/>
          <w:sz w:val="32"/>
          <w:szCs w:val="32"/>
          <w:lang w:eastAsia="en-US"/>
        </w:rPr>
        <w:t>申报主体填写《</w:t>
      </w:r>
      <w:r>
        <w:rPr>
          <w:rFonts w:hint="eastAsia" w:ascii="仿宋_GB2312" w:hAnsi="仿宋_GB2312" w:eastAsia="仿宋_GB2312" w:cs="仿宋_GB2312"/>
          <w:snapToGrid/>
          <w:color w:val="auto"/>
          <w:kern w:val="2"/>
          <w:sz w:val="32"/>
          <w:szCs w:val="32"/>
          <w:lang w:val="en-US" w:eastAsia="zh-CN" w:bidi="ar-SA"/>
        </w:rPr>
        <w:t>新丰县竹产业奖补资金申请表</w:t>
      </w:r>
      <w:r>
        <w:rPr>
          <w:rFonts w:hint="eastAsia" w:ascii="仿宋_GB2312" w:hAnsi="仿宋_GB2312" w:eastAsia="仿宋_GB2312" w:cs="仿宋_GB2312"/>
          <w:snapToGrid w:val="0"/>
          <w:color w:val="auto"/>
          <w:spacing w:val="-6"/>
          <w:kern w:val="0"/>
          <w:sz w:val="32"/>
          <w:szCs w:val="32"/>
          <w:lang w:eastAsia="en-US"/>
        </w:rPr>
        <w:t>》（附</w:t>
      </w:r>
      <w:r>
        <w:rPr>
          <w:rFonts w:hint="eastAsia" w:ascii="仿宋_GB2312" w:hAnsi="仿宋_GB2312" w:eastAsia="仿宋_GB2312" w:cs="仿宋_GB2312"/>
          <w:snapToGrid w:val="0"/>
          <w:color w:val="auto"/>
          <w:spacing w:val="7"/>
          <w:kern w:val="0"/>
          <w:sz w:val="32"/>
          <w:szCs w:val="32"/>
          <w:lang w:eastAsia="en-US"/>
        </w:rPr>
        <w:t>件</w:t>
      </w:r>
      <w:r>
        <w:rPr>
          <w:rFonts w:hint="eastAsia" w:ascii="仿宋_GB2312" w:hAnsi="仿宋_GB2312" w:eastAsia="仿宋_GB2312" w:cs="仿宋_GB2312"/>
          <w:snapToGrid w:val="0"/>
          <w:color w:val="auto"/>
          <w:spacing w:val="-47"/>
          <w:kern w:val="0"/>
          <w:sz w:val="32"/>
          <w:szCs w:val="32"/>
          <w:lang w:val="en-US" w:eastAsia="zh-CN"/>
        </w:rPr>
        <w:t>1</w:t>
      </w:r>
      <w:r>
        <w:rPr>
          <w:rFonts w:hint="eastAsia" w:ascii="仿宋_GB2312" w:hAnsi="仿宋_GB2312" w:eastAsia="仿宋_GB2312" w:cs="仿宋_GB2312"/>
          <w:snapToGrid w:val="0"/>
          <w:color w:val="auto"/>
          <w:spacing w:val="12"/>
          <w:kern w:val="0"/>
          <w:sz w:val="32"/>
          <w:szCs w:val="32"/>
          <w:lang w:eastAsia="en-US"/>
        </w:rPr>
        <w:t>），</w:t>
      </w:r>
      <w:r>
        <w:rPr>
          <w:rFonts w:hint="eastAsia" w:ascii="仿宋_GB2312" w:hAnsi="仿宋_GB2312" w:eastAsia="仿宋_GB2312" w:cs="仿宋_GB2312"/>
          <w:snapToGrid w:val="0"/>
          <w:color w:val="auto"/>
          <w:spacing w:val="7"/>
          <w:kern w:val="0"/>
          <w:sz w:val="32"/>
          <w:szCs w:val="32"/>
          <w:lang w:eastAsia="en-US"/>
        </w:rPr>
        <w:t>并提供</w:t>
      </w:r>
      <w:r>
        <w:rPr>
          <w:rFonts w:hint="eastAsia" w:ascii="仿宋_GB2312" w:hAnsi="仿宋_GB2312" w:eastAsia="仿宋_GB2312" w:cs="仿宋_GB2312"/>
          <w:snapToGrid w:val="0"/>
          <w:color w:val="auto"/>
          <w:spacing w:val="6"/>
          <w:kern w:val="0"/>
          <w:sz w:val="32"/>
          <w:szCs w:val="32"/>
          <w:lang w:val="en-US" w:eastAsia="zh-CN"/>
        </w:rPr>
        <w:t>相关</w:t>
      </w:r>
      <w:r>
        <w:rPr>
          <w:rFonts w:hint="eastAsia" w:ascii="仿宋_GB2312" w:hAnsi="仿宋_GB2312" w:eastAsia="仿宋_GB2312" w:cs="仿宋_GB2312"/>
          <w:snapToGrid w:val="0"/>
          <w:color w:val="auto"/>
          <w:spacing w:val="9"/>
          <w:kern w:val="0"/>
          <w:sz w:val="32"/>
          <w:szCs w:val="32"/>
          <w:lang w:eastAsia="en-US"/>
        </w:rPr>
        <w:t>佐证资料后报</w:t>
      </w:r>
      <w:r>
        <w:rPr>
          <w:rFonts w:hint="eastAsia" w:ascii="仿宋_GB2312" w:hAnsi="仿宋_GB2312" w:eastAsia="仿宋_GB2312" w:cs="仿宋_GB2312"/>
          <w:snapToGrid w:val="0"/>
          <w:color w:val="auto"/>
          <w:spacing w:val="9"/>
          <w:kern w:val="0"/>
          <w:sz w:val="32"/>
          <w:szCs w:val="32"/>
          <w:lang w:val="en-US" w:eastAsia="zh-CN"/>
        </w:rPr>
        <w:t>牵头单位</w:t>
      </w:r>
      <w:r>
        <w:rPr>
          <w:rFonts w:hint="eastAsia" w:ascii="仿宋_GB2312" w:hAnsi="仿宋_GB2312" w:eastAsia="仿宋_GB2312" w:cs="仿宋_GB2312"/>
          <w:snapToGrid w:val="0"/>
          <w:color w:val="auto"/>
          <w:spacing w:val="9"/>
          <w:kern w:val="0"/>
          <w:sz w:val="32"/>
          <w:szCs w:val="32"/>
          <w:lang w:eastAsia="en-US"/>
        </w:rPr>
        <w:t>审核。</w:t>
      </w:r>
    </w:p>
    <w:p w14:paraId="765AEE8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lang w:val="en-US" w:eastAsia="zh-CN" w:bidi="ar-SA"/>
        </w:rPr>
      </w:pPr>
      <w:r>
        <w:rPr>
          <w:rFonts w:hint="eastAsia" w:ascii="仿宋_GB2312" w:hAnsi="仿宋_GB2312" w:eastAsia="仿宋_GB2312" w:cs="仿宋_GB2312"/>
          <w:color w:val="auto"/>
          <w:sz w:val="32"/>
          <w:szCs w:val="32"/>
          <w:lang w:val="en-US" w:eastAsia="zh-CN"/>
        </w:rPr>
        <w:t>2.申报要求。</w:t>
      </w:r>
      <w:r>
        <w:rPr>
          <w:rFonts w:hint="eastAsia" w:ascii="Times New Roman" w:hAnsi="Times New Roman" w:eastAsia="仿宋_GB2312" w:cs="Times New Roman"/>
          <w:i w:val="0"/>
          <w:iCs w:val="0"/>
          <w:caps w:val="0"/>
          <w:snapToGrid/>
          <w:color w:val="auto"/>
          <w:spacing w:val="0"/>
          <w:kern w:val="2"/>
          <w:sz w:val="32"/>
          <w:szCs w:val="32"/>
          <w:lang w:val="en-US" w:eastAsia="zh-CN" w:bidi="ar-SA"/>
        </w:rPr>
        <w:t>一是</w:t>
      </w:r>
      <w:r>
        <w:rPr>
          <w:rFonts w:hint="default" w:ascii="Times New Roman" w:hAnsi="Times New Roman" w:eastAsia="仿宋_GB2312" w:cs="Times New Roman"/>
          <w:i w:val="0"/>
          <w:iCs w:val="0"/>
          <w:caps w:val="0"/>
          <w:snapToGrid/>
          <w:color w:val="auto"/>
          <w:spacing w:val="0"/>
          <w:kern w:val="2"/>
          <w:sz w:val="32"/>
          <w:szCs w:val="32"/>
          <w:lang w:val="en-US" w:eastAsia="zh-CN" w:bidi="ar-SA"/>
        </w:rPr>
        <w:t>申报主体在申报建设时，禁止违法占用耕地</w:t>
      </w:r>
      <w:r>
        <w:rPr>
          <w:rFonts w:hint="eastAsia" w:ascii="Times New Roman" w:hAnsi="Times New Roman" w:eastAsia="仿宋_GB2312" w:cs="Times New Roman"/>
          <w:i w:val="0"/>
          <w:iCs w:val="0"/>
          <w:caps w:val="0"/>
          <w:snapToGrid/>
          <w:color w:val="auto"/>
          <w:spacing w:val="0"/>
          <w:kern w:val="2"/>
          <w:sz w:val="32"/>
          <w:szCs w:val="32"/>
          <w:lang w:val="en-US" w:eastAsia="zh-CN" w:bidi="ar-SA"/>
        </w:rPr>
        <w:t>、自然保护地、</w:t>
      </w:r>
      <w:r>
        <w:rPr>
          <w:rFonts w:hint="eastAsia" w:ascii="仿宋_GB2312" w:hAnsi="仿宋_GB2312" w:eastAsia="仿宋_GB2312" w:cs="仿宋_GB2312"/>
          <w:color w:val="auto"/>
          <w:sz w:val="32"/>
          <w:szCs w:val="32"/>
          <w:vertAlign w:val="baseline"/>
          <w:lang w:val="en-US" w:eastAsia="zh-CN"/>
        </w:rPr>
        <w:t>饮用水源保护区、</w:t>
      </w:r>
      <w:r>
        <w:rPr>
          <w:rFonts w:hint="default" w:ascii="Times New Roman" w:hAnsi="Times New Roman" w:eastAsia="仿宋_GB2312" w:cs="Times New Roman"/>
          <w:i w:val="0"/>
          <w:iCs w:val="0"/>
          <w:caps w:val="0"/>
          <w:snapToGrid/>
          <w:color w:val="auto"/>
          <w:spacing w:val="0"/>
          <w:kern w:val="2"/>
          <w:sz w:val="32"/>
          <w:szCs w:val="32"/>
          <w:lang w:val="en-US" w:eastAsia="zh-CN" w:bidi="ar-SA"/>
        </w:rPr>
        <w:t>永久基本农田</w:t>
      </w:r>
      <w:r>
        <w:rPr>
          <w:rFonts w:hint="eastAsia" w:ascii="Times New Roman" w:hAnsi="Times New Roman" w:eastAsia="仿宋_GB2312" w:cs="Times New Roman"/>
          <w:i w:val="0"/>
          <w:iCs w:val="0"/>
          <w:caps w:val="0"/>
          <w:snapToGrid/>
          <w:color w:val="auto"/>
          <w:spacing w:val="0"/>
          <w:kern w:val="2"/>
          <w:sz w:val="32"/>
          <w:szCs w:val="32"/>
          <w:lang w:val="en-US" w:eastAsia="zh-CN" w:bidi="ar-SA"/>
        </w:rPr>
        <w:t>和高标准农田</w:t>
      </w:r>
      <w:r>
        <w:rPr>
          <w:rFonts w:hint="default" w:ascii="Times New Roman" w:hAnsi="Times New Roman" w:eastAsia="仿宋_GB2312" w:cs="Times New Roman"/>
          <w:i w:val="0"/>
          <w:iCs w:val="0"/>
          <w:caps w:val="0"/>
          <w:snapToGrid/>
          <w:color w:val="auto"/>
          <w:spacing w:val="0"/>
          <w:kern w:val="2"/>
          <w:sz w:val="32"/>
          <w:szCs w:val="32"/>
          <w:lang w:val="en-US" w:eastAsia="zh-CN" w:bidi="ar-SA"/>
        </w:rPr>
        <w:t>，须避让生态保护红线，不占或少占坡度15度以下园地，为耕地恢复预留空间。在申报过程中经核实属于占用耕地</w:t>
      </w:r>
      <w:r>
        <w:rPr>
          <w:rFonts w:hint="eastAsia" w:ascii="Times New Roman" w:hAnsi="Times New Roman" w:eastAsia="仿宋_GB2312" w:cs="Times New Roman"/>
          <w:i w:val="0"/>
          <w:iCs w:val="0"/>
          <w:caps w:val="0"/>
          <w:snapToGrid/>
          <w:color w:val="auto"/>
          <w:spacing w:val="0"/>
          <w:kern w:val="2"/>
          <w:sz w:val="32"/>
          <w:szCs w:val="32"/>
          <w:lang w:val="en-US" w:eastAsia="zh-CN" w:bidi="ar-SA"/>
        </w:rPr>
        <w:t>、自然保护地、</w:t>
      </w:r>
      <w:r>
        <w:rPr>
          <w:rFonts w:hint="eastAsia" w:ascii="仿宋_GB2312" w:hAnsi="仿宋_GB2312" w:eastAsia="仿宋_GB2312" w:cs="仿宋_GB2312"/>
          <w:color w:val="auto"/>
          <w:sz w:val="32"/>
          <w:szCs w:val="32"/>
          <w:vertAlign w:val="baseline"/>
          <w:lang w:val="en-US" w:eastAsia="zh-CN"/>
        </w:rPr>
        <w:t>饮用水源保护区、</w:t>
      </w:r>
      <w:r>
        <w:rPr>
          <w:rFonts w:hint="default" w:ascii="Times New Roman" w:hAnsi="Times New Roman" w:eastAsia="仿宋_GB2312" w:cs="Times New Roman"/>
          <w:i w:val="0"/>
          <w:iCs w:val="0"/>
          <w:caps w:val="0"/>
          <w:snapToGrid/>
          <w:color w:val="auto"/>
          <w:spacing w:val="0"/>
          <w:kern w:val="2"/>
          <w:sz w:val="32"/>
          <w:szCs w:val="32"/>
          <w:lang w:val="en-US" w:eastAsia="zh-CN" w:bidi="ar-SA"/>
        </w:rPr>
        <w:t>永久基本农田</w:t>
      </w:r>
      <w:r>
        <w:rPr>
          <w:rFonts w:hint="eastAsia" w:ascii="Times New Roman" w:hAnsi="Times New Roman" w:eastAsia="仿宋_GB2312" w:cs="Times New Roman"/>
          <w:i w:val="0"/>
          <w:iCs w:val="0"/>
          <w:caps w:val="0"/>
          <w:snapToGrid/>
          <w:color w:val="auto"/>
          <w:spacing w:val="0"/>
          <w:kern w:val="2"/>
          <w:sz w:val="32"/>
          <w:szCs w:val="32"/>
          <w:lang w:val="en-US" w:eastAsia="zh-CN" w:bidi="ar-SA"/>
        </w:rPr>
        <w:t>、高标准农田和</w:t>
      </w:r>
      <w:r>
        <w:rPr>
          <w:rFonts w:hint="default" w:ascii="Times New Roman" w:hAnsi="Times New Roman" w:eastAsia="仿宋_GB2312" w:cs="Times New Roman"/>
          <w:i w:val="0"/>
          <w:iCs w:val="0"/>
          <w:caps w:val="0"/>
          <w:snapToGrid/>
          <w:color w:val="auto"/>
          <w:spacing w:val="0"/>
          <w:kern w:val="2"/>
          <w:sz w:val="32"/>
          <w:szCs w:val="32"/>
          <w:lang w:val="en-US" w:eastAsia="zh-CN" w:bidi="ar-SA"/>
        </w:rPr>
        <w:t>生态保护红线的申报主体不予以奖补</w:t>
      </w:r>
      <w:r>
        <w:rPr>
          <w:rFonts w:hint="eastAsia" w:ascii="Times New Roman" w:hAnsi="Times New Roman" w:eastAsia="仿宋_GB2312" w:cs="Times New Roman"/>
          <w:i w:val="0"/>
          <w:iCs w:val="0"/>
          <w:caps w:val="0"/>
          <w:snapToGrid/>
          <w:color w:val="auto"/>
          <w:spacing w:val="0"/>
          <w:kern w:val="2"/>
          <w:sz w:val="32"/>
          <w:szCs w:val="32"/>
          <w:lang w:val="en-US" w:eastAsia="zh-CN" w:bidi="ar-SA"/>
        </w:rPr>
        <w:t>。二是申报主体须正常经营，不得在失信黑名单或失信企业范围内。</w:t>
      </w:r>
    </w:p>
    <w:p w14:paraId="34944D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（二）项目建设验收</w:t>
      </w:r>
    </w:p>
    <w:p w14:paraId="29B293D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snapToGrid/>
          <w:color w:val="auto"/>
          <w:spacing w:val="0"/>
          <w:kern w:val="2"/>
          <w:sz w:val="32"/>
          <w:szCs w:val="32"/>
          <w:lang w:val="en-US" w:eastAsia="zh-CN" w:bidi="ar-SA"/>
        </w:rPr>
      </w:pPr>
      <w:r>
        <w:rPr>
          <w:rFonts w:hint="eastAsia" w:ascii="仿宋_GB2312" w:hAnsi="仿宋_GB2312" w:eastAsia="仿宋_GB2312" w:cs="仿宋_GB2312"/>
          <w:i w:val="0"/>
          <w:iCs w:val="0"/>
          <w:caps w:val="0"/>
          <w:snapToGrid/>
          <w:color w:val="auto"/>
          <w:spacing w:val="0"/>
          <w:kern w:val="2"/>
          <w:sz w:val="32"/>
          <w:szCs w:val="32"/>
          <w:lang w:val="en-US" w:eastAsia="zh-CN" w:bidi="ar-SA"/>
        </w:rPr>
        <w:t>由经营主体向牵头单位提出申请，牵头单位成立验收小组开展验收，并填写《新丰县竹产业其他奖补项目验收表》（附件2），验收合格的由镇（街）按要求公示7个工作日，公示期间无异议后，存档并将验收合格的台账等资料报新丰县茶产业和竹产业高质量发展工作专班备案。</w:t>
      </w:r>
    </w:p>
    <w:p w14:paraId="1C4267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（三）资金发放</w:t>
      </w:r>
    </w:p>
    <w:p w14:paraId="211EFB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snapToGrid/>
          <w:color w:val="auto"/>
          <w:spacing w:val="0"/>
          <w:kern w:val="2"/>
          <w:sz w:val="32"/>
          <w:szCs w:val="32"/>
          <w:lang w:val="en-US" w:eastAsia="zh-CN" w:bidi="ar-SA"/>
        </w:rPr>
      </w:pPr>
      <w:r>
        <w:rPr>
          <w:rFonts w:hint="eastAsia" w:ascii="仿宋_GB2312" w:hAnsi="仿宋_GB2312" w:eastAsia="仿宋_GB2312" w:cs="仿宋_GB2312"/>
          <w:i w:val="0"/>
          <w:iCs w:val="0"/>
          <w:caps w:val="0"/>
          <w:snapToGrid/>
          <w:color w:val="auto"/>
          <w:spacing w:val="0"/>
          <w:kern w:val="2"/>
          <w:sz w:val="32"/>
          <w:szCs w:val="32"/>
          <w:lang w:val="en-US" w:eastAsia="zh-CN" w:bidi="ar-SA"/>
        </w:rPr>
        <w:t>1.奖补资金安排。县林业局会同牵头单位对奖补资金申请表及相关佐证资料审核后，报县财政局审批，经依法公示后拨付到申报主体账户。</w:t>
      </w:r>
    </w:p>
    <w:p w14:paraId="18337DF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snapToGrid/>
          <w:color w:val="auto"/>
          <w:spacing w:val="0"/>
          <w:kern w:val="2"/>
          <w:sz w:val="32"/>
          <w:szCs w:val="32"/>
          <w:lang w:val="en-US" w:eastAsia="zh-CN" w:bidi="ar-SA"/>
        </w:rPr>
      </w:pPr>
      <w:r>
        <w:rPr>
          <w:rFonts w:hint="eastAsia" w:ascii="仿宋_GB2312" w:hAnsi="仿宋_GB2312" w:eastAsia="仿宋_GB2312" w:cs="仿宋_GB2312"/>
          <w:i w:val="0"/>
          <w:iCs w:val="0"/>
          <w:caps w:val="0"/>
          <w:snapToGrid/>
          <w:color w:val="auto"/>
          <w:spacing w:val="0"/>
          <w:kern w:val="2"/>
          <w:sz w:val="32"/>
          <w:szCs w:val="32"/>
          <w:lang w:val="en-US" w:eastAsia="zh-CN" w:bidi="ar-SA"/>
        </w:rPr>
        <w:t>2.加强奖补资金管理。县财政局做好发展竹产业奖补专项资金管理工作。县林业局、镇（街）做好申报主体实施全流程的监管，全力提高财政资金绩效。</w:t>
      </w:r>
    </w:p>
    <w:p w14:paraId="0D273679">
      <w:pPr>
        <w:keepNext w:val="0"/>
        <w:keepLines w:val="0"/>
        <w:pageBreakBefore w:val="0"/>
        <w:widowControl w:val="0"/>
        <w:numPr>
          <w:ilvl w:val="0"/>
          <w:numId w:val="0"/>
        </w:numPr>
        <w:kinsoku/>
        <w:wordWrap/>
        <w:overflowPunct/>
        <w:topLinePunct w:val="0"/>
        <w:autoSpaceDN/>
        <w:bidi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七、需要提交的申请材料</w:t>
      </w:r>
    </w:p>
    <w:p w14:paraId="7A33A438">
      <w:pPr>
        <w:keepNext w:val="0"/>
        <w:keepLines w:val="0"/>
        <w:pageBreakBefore w:val="0"/>
        <w:widowControl w:val="0"/>
        <w:numPr>
          <w:ilvl w:val="0"/>
          <w:numId w:val="0"/>
        </w:numPr>
        <w:kinsoku/>
        <w:wordWrap/>
        <w:overflowPunct/>
        <w:topLinePunct w:val="0"/>
        <w:autoSpaceDN/>
        <w:bidi w:val="0"/>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(一)申</w:t>
      </w:r>
      <w:r>
        <w:rPr>
          <w:rFonts w:hint="eastAsia" w:ascii="楷体_GB2312" w:hAnsi="楷体_GB2312" w:eastAsia="楷体_GB2312" w:cs="楷体_GB2312"/>
          <w:color w:val="auto"/>
          <w:sz w:val="32"/>
          <w:szCs w:val="32"/>
          <w:lang w:val="en-US" w:eastAsia="zh-CN"/>
        </w:rPr>
        <w:t>请</w:t>
      </w:r>
      <w:r>
        <w:rPr>
          <w:rFonts w:hint="eastAsia" w:ascii="楷体_GB2312" w:hAnsi="楷体_GB2312" w:eastAsia="楷体_GB2312" w:cs="楷体_GB2312"/>
          <w:color w:val="auto"/>
          <w:sz w:val="32"/>
          <w:szCs w:val="32"/>
        </w:rPr>
        <w:t>材料</w:t>
      </w:r>
    </w:p>
    <w:p w14:paraId="12D8D5CA">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snapToGrid/>
          <w:color w:val="auto"/>
          <w:kern w:val="2"/>
          <w:sz w:val="32"/>
          <w:szCs w:val="32"/>
          <w:lang w:val="en-US" w:eastAsia="zh-CN" w:bidi="ar-SA"/>
        </w:rPr>
        <w:t>新丰县竹产业发展奖补资金申请表</w:t>
      </w:r>
      <w:r>
        <w:rPr>
          <w:rFonts w:hint="eastAsia" w:ascii="仿宋_GB2312" w:hAnsi="仿宋_GB2312" w:eastAsia="仿宋_GB2312" w:cs="仿宋_GB2312"/>
          <w:color w:val="auto"/>
          <w:sz w:val="32"/>
          <w:szCs w:val="32"/>
        </w:rPr>
        <w:t>》(以下简称“申请表”);</w:t>
      </w:r>
    </w:p>
    <w:p w14:paraId="7323FC47">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2.申报者证照:法人①代表身份证复印件、营业执照复印件。个人②身份证复印件;</w:t>
      </w:r>
    </w:p>
    <w:p w14:paraId="2B1B3461">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3.补助收款账户材料:①组织机构代码证(公账/基本户)/②银行卡复印件;</w:t>
      </w:r>
    </w:p>
    <w:p w14:paraId="4E498E38">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部门出具的用地合规性审查意见</w:t>
      </w:r>
      <w:r>
        <w:rPr>
          <w:rFonts w:hint="eastAsia" w:ascii="仿宋_GB2312" w:hAnsi="仿宋_GB2312" w:eastAsia="仿宋_GB2312" w:cs="仿宋_GB2312"/>
          <w:color w:val="auto"/>
          <w:sz w:val="32"/>
          <w:szCs w:val="32"/>
          <w:lang w:eastAsia="zh-CN"/>
        </w:rPr>
        <w:t>。</w:t>
      </w:r>
    </w:p>
    <w:p w14:paraId="125CBDFF">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.需要提供的</w:t>
      </w:r>
      <w:r>
        <w:rPr>
          <w:rFonts w:hint="eastAsia" w:ascii="仿宋_GB2312" w:hAnsi="仿宋_GB2312" w:eastAsia="仿宋_GB2312" w:cs="仿宋_GB2312"/>
          <w:color w:val="auto"/>
          <w:sz w:val="32"/>
          <w:szCs w:val="32"/>
          <w:lang w:val="en-US" w:eastAsia="zh-CN"/>
        </w:rPr>
        <w:t>照片以及</w:t>
      </w:r>
      <w:r>
        <w:rPr>
          <w:rFonts w:hint="eastAsia" w:ascii="仿宋_GB2312" w:hAnsi="仿宋_GB2312" w:eastAsia="仿宋_GB2312" w:cs="仿宋_GB2312"/>
          <w:color w:val="auto"/>
          <w:sz w:val="32"/>
          <w:szCs w:val="32"/>
        </w:rPr>
        <w:t>其它</w:t>
      </w:r>
      <w:r>
        <w:rPr>
          <w:rFonts w:hint="eastAsia" w:ascii="仿宋_GB2312" w:hAnsi="仿宋_GB2312" w:eastAsia="仿宋_GB2312" w:cs="仿宋_GB2312"/>
          <w:color w:val="auto"/>
          <w:sz w:val="32"/>
          <w:szCs w:val="32"/>
          <w:lang w:val="en-US" w:eastAsia="zh-CN"/>
        </w:rPr>
        <w:t>佐证</w:t>
      </w:r>
      <w:r>
        <w:rPr>
          <w:rFonts w:hint="eastAsia" w:ascii="仿宋_GB2312" w:hAnsi="仿宋_GB2312" w:eastAsia="仿宋_GB2312" w:cs="仿宋_GB2312"/>
          <w:color w:val="auto"/>
          <w:sz w:val="32"/>
          <w:szCs w:val="32"/>
        </w:rPr>
        <w:t>资料。</w:t>
      </w:r>
    </w:p>
    <w:p w14:paraId="0C96D20E">
      <w:pPr>
        <w:keepNext w:val="0"/>
        <w:keepLines w:val="0"/>
        <w:pageBreakBefore w:val="0"/>
        <w:widowControl w:val="0"/>
        <w:numPr>
          <w:ilvl w:val="0"/>
          <w:numId w:val="0"/>
        </w:numPr>
        <w:kinsoku/>
        <w:wordWrap/>
        <w:overflowPunct/>
        <w:topLinePunct w:val="0"/>
        <w:autoSpaceDN/>
        <w:bidi w:val="0"/>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(二)提交材料的要求</w:t>
      </w:r>
    </w:p>
    <w:p w14:paraId="3A963BE5">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1.申报材料须统一按A4纸张制作并用夹子合夹成册,所有复印件必须①加盖公章/②签名摁手印;</w:t>
      </w:r>
    </w:p>
    <w:p w14:paraId="7755FE88">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2.资料顺序:申报表;申请者证照、补助收款账户材料复印件;用地合规性审查意见;其它</w:t>
      </w:r>
      <w:r>
        <w:rPr>
          <w:rFonts w:hint="eastAsia" w:ascii="仿宋_GB2312" w:hAnsi="仿宋_GB2312" w:eastAsia="仿宋_GB2312" w:cs="仿宋_GB2312"/>
          <w:color w:val="auto"/>
          <w:sz w:val="32"/>
          <w:szCs w:val="32"/>
          <w:lang w:val="en-US" w:eastAsia="zh-CN"/>
        </w:rPr>
        <w:t>佐证</w:t>
      </w:r>
      <w:r>
        <w:rPr>
          <w:rFonts w:hint="eastAsia" w:ascii="仿宋_GB2312" w:hAnsi="仿宋_GB2312" w:eastAsia="仿宋_GB2312" w:cs="仿宋_GB2312"/>
          <w:color w:val="auto"/>
          <w:sz w:val="32"/>
          <w:szCs w:val="32"/>
        </w:rPr>
        <w:t>资料。</w:t>
      </w:r>
    </w:p>
    <w:p w14:paraId="23C06C1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八、保障措施</w:t>
      </w:r>
    </w:p>
    <w:p w14:paraId="211CE1A6">
      <w:pPr>
        <w:keepNext w:val="0"/>
        <w:keepLines w:val="0"/>
        <w:pageBreakBefore w:val="0"/>
        <w:kinsoku/>
        <w:wordWrap/>
        <w:overflowPunct/>
        <w:topLinePunct w:val="0"/>
        <w:autoSpaceDE w:val="0"/>
        <w:autoSpaceDN/>
        <w:bidi w:val="0"/>
        <w:adjustRightInd w:val="0"/>
        <w:snapToGrid w:val="0"/>
        <w:spacing w:before="57" w:line="576" w:lineRule="exact"/>
        <w:ind w:left="5" w:right="81" w:firstLine="640" w:firstLineChars="200"/>
        <w:textAlignment w:val="baseline"/>
        <w:rPr>
          <w:rFonts w:hint="default" w:ascii="仿宋_GB2312" w:hAnsi="仿宋_GB2312" w:eastAsia="仿宋_GB2312" w:cs="仿宋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（一）加强组织领导。</w:t>
      </w:r>
      <w:r>
        <w:rPr>
          <w:rFonts w:hint="default" w:ascii="仿宋_GB2312" w:hAnsi="仿宋_GB2312" w:eastAsia="仿宋_GB2312" w:cs="仿宋_GB2312"/>
          <w:snapToGrid/>
          <w:color w:val="auto"/>
          <w:kern w:val="2"/>
          <w:sz w:val="32"/>
          <w:szCs w:val="32"/>
          <w:lang w:val="en-US" w:eastAsia="zh-CN" w:bidi="ar-SA"/>
        </w:rPr>
        <w:t>为统筹推进全县</w:t>
      </w:r>
      <w:r>
        <w:rPr>
          <w:rFonts w:hint="eastAsia" w:ascii="仿宋_GB2312" w:hAnsi="仿宋_GB2312" w:eastAsia="仿宋_GB2312" w:cs="仿宋_GB2312"/>
          <w:snapToGrid/>
          <w:color w:val="auto"/>
          <w:kern w:val="2"/>
          <w:sz w:val="32"/>
          <w:szCs w:val="32"/>
          <w:lang w:val="en-US" w:eastAsia="zh-CN" w:bidi="ar-SA"/>
        </w:rPr>
        <w:t>竹</w:t>
      </w:r>
      <w:r>
        <w:rPr>
          <w:rFonts w:hint="default" w:ascii="仿宋_GB2312" w:hAnsi="仿宋_GB2312" w:eastAsia="仿宋_GB2312" w:cs="仿宋_GB2312"/>
          <w:snapToGrid/>
          <w:color w:val="auto"/>
          <w:kern w:val="2"/>
          <w:sz w:val="32"/>
          <w:szCs w:val="32"/>
          <w:lang w:val="en-US" w:eastAsia="zh-CN" w:bidi="ar-SA"/>
        </w:rPr>
        <w:t>产业发展工作，</w:t>
      </w:r>
      <w:r>
        <w:rPr>
          <w:rFonts w:hint="eastAsia" w:ascii="仿宋_GB2312" w:hAnsi="仿宋_GB2312" w:eastAsia="仿宋_GB2312" w:cs="仿宋_GB2312"/>
          <w:snapToGrid/>
          <w:color w:val="auto"/>
          <w:kern w:val="2"/>
          <w:sz w:val="32"/>
          <w:szCs w:val="32"/>
          <w:lang w:val="en-US" w:eastAsia="zh-CN" w:bidi="ar-SA"/>
        </w:rPr>
        <w:t>县竹产业专班</w:t>
      </w:r>
      <w:r>
        <w:rPr>
          <w:rFonts w:hint="default" w:ascii="仿宋_GB2312" w:hAnsi="仿宋_GB2312" w:eastAsia="仿宋_GB2312" w:cs="仿宋_GB2312"/>
          <w:snapToGrid/>
          <w:color w:val="auto"/>
          <w:kern w:val="2"/>
          <w:sz w:val="32"/>
          <w:szCs w:val="32"/>
          <w:lang w:val="en-US" w:eastAsia="zh-CN" w:bidi="ar-SA"/>
        </w:rPr>
        <w:t>成员单位充分发挥好各自职责</w:t>
      </w:r>
      <w:r>
        <w:rPr>
          <w:rFonts w:hint="eastAsia" w:ascii="仿宋_GB2312" w:hAnsi="仿宋_GB2312" w:eastAsia="仿宋_GB2312" w:cs="仿宋_GB2312"/>
          <w:snapToGrid/>
          <w:color w:val="auto"/>
          <w:kern w:val="2"/>
          <w:sz w:val="32"/>
          <w:szCs w:val="32"/>
          <w:lang w:val="en-US" w:eastAsia="zh-CN" w:bidi="ar-SA"/>
        </w:rPr>
        <w:t>，</w:t>
      </w:r>
      <w:r>
        <w:rPr>
          <w:rFonts w:hint="default" w:ascii="仿宋_GB2312" w:hAnsi="仿宋_GB2312" w:eastAsia="仿宋_GB2312" w:cs="仿宋_GB2312"/>
          <w:snapToGrid/>
          <w:color w:val="auto"/>
          <w:kern w:val="2"/>
          <w:sz w:val="32"/>
          <w:szCs w:val="32"/>
          <w:lang w:val="en-US" w:eastAsia="zh-CN" w:bidi="ar-SA"/>
        </w:rPr>
        <w:t>确保各项工作有序推进。</w:t>
      </w:r>
    </w:p>
    <w:p w14:paraId="5AA577D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napToGrid/>
          <w:color w:val="auto"/>
          <w:kern w:val="2"/>
          <w:sz w:val="32"/>
          <w:szCs w:val="32"/>
          <w:lang w:val="en-US" w:eastAsia="zh-CN" w:bidi="ar-SA"/>
        </w:rPr>
      </w:pPr>
      <w:r>
        <w:rPr>
          <w:rFonts w:hint="default" w:ascii="楷体_GB2312" w:hAnsi="楷体_GB2312" w:eastAsia="楷体_GB2312" w:cs="楷体_GB2312"/>
          <w:snapToGrid/>
          <w:color w:val="auto"/>
          <w:kern w:val="2"/>
          <w:sz w:val="32"/>
          <w:szCs w:val="32"/>
          <w:lang w:val="en-US" w:eastAsia="zh-CN" w:bidi="ar-SA"/>
        </w:rPr>
        <w:t>（二）广泛宣传动员。</w:t>
      </w:r>
      <w:r>
        <w:rPr>
          <w:rFonts w:hint="eastAsia" w:ascii="仿宋_GB2312" w:hAnsi="仿宋_GB2312" w:eastAsia="仿宋_GB2312" w:cs="仿宋_GB2312"/>
          <w:snapToGrid/>
          <w:color w:val="auto"/>
          <w:kern w:val="2"/>
          <w:sz w:val="32"/>
          <w:szCs w:val="32"/>
          <w:lang w:val="en-US" w:eastAsia="zh-CN" w:bidi="ar-SA"/>
        </w:rPr>
        <w:t>各镇（街）、县林业局</w:t>
      </w:r>
      <w:r>
        <w:rPr>
          <w:rFonts w:hint="default" w:ascii="仿宋_GB2312" w:hAnsi="仿宋_GB2312" w:eastAsia="仿宋_GB2312" w:cs="仿宋_GB2312"/>
          <w:snapToGrid/>
          <w:color w:val="auto"/>
          <w:kern w:val="2"/>
          <w:sz w:val="32"/>
          <w:szCs w:val="32"/>
          <w:lang w:val="en-US" w:eastAsia="zh-CN" w:bidi="ar-SA"/>
        </w:rPr>
        <w:t>加强宣传发动，县、镇要利用</w:t>
      </w:r>
      <w:r>
        <w:rPr>
          <w:rFonts w:hint="eastAsia" w:ascii="仿宋_GB2312" w:hAnsi="仿宋_GB2312" w:eastAsia="仿宋_GB2312" w:cs="仿宋_GB2312"/>
          <w:snapToGrid/>
          <w:color w:val="auto"/>
          <w:kern w:val="2"/>
          <w:sz w:val="32"/>
          <w:szCs w:val="32"/>
          <w:lang w:val="en-US" w:eastAsia="zh-CN" w:bidi="ar-SA"/>
        </w:rPr>
        <w:t>广播</w:t>
      </w:r>
      <w:r>
        <w:rPr>
          <w:rFonts w:hint="default" w:ascii="仿宋_GB2312" w:hAnsi="仿宋_GB2312" w:eastAsia="仿宋_GB2312" w:cs="仿宋_GB2312"/>
          <w:snapToGrid/>
          <w:color w:val="auto"/>
          <w:kern w:val="2"/>
          <w:sz w:val="32"/>
          <w:szCs w:val="32"/>
          <w:lang w:val="en-US" w:eastAsia="zh-CN" w:bidi="ar-SA"/>
        </w:rPr>
        <w:t>、会议、培训等形式向广大群众宣传</w:t>
      </w:r>
      <w:r>
        <w:rPr>
          <w:rFonts w:hint="eastAsia" w:ascii="仿宋_GB2312" w:hAnsi="仿宋_GB2312" w:eastAsia="仿宋_GB2312" w:cs="仿宋_GB2312"/>
          <w:snapToGrid/>
          <w:color w:val="auto"/>
          <w:kern w:val="2"/>
          <w:sz w:val="32"/>
          <w:szCs w:val="32"/>
          <w:lang w:val="en-US" w:eastAsia="zh-CN" w:bidi="ar-SA"/>
        </w:rPr>
        <w:t>新丰县竹</w:t>
      </w:r>
      <w:r>
        <w:rPr>
          <w:rFonts w:hint="default" w:ascii="仿宋_GB2312" w:hAnsi="仿宋_GB2312" w:eastAsia="仿宋_GB2312" w:cs="仿宋_GB2312"/>
          <w:snapToGrid/>
          <w:color w:val="auto"/>
          <w:kern w:val="2"/>
          <w:sz w:val="32"/>
          <w:szCs w:val="32"/>
          <w:lang w:val="en-US" w:eastAsia="zh-CN" w:bidi="ar-SA"/>
        </w:rPr>
        <w:t>产业</w:t>
      </w:r>
      <w:r>
        <w:rPr>
          <w:rFonts w:hint="eastAsia" w:ascii="仿宋_GB2312" w:hAnsi="仿宋_GB2312" w:eastAsia="仿宋_GB2312" w:cs="仿宋_GB2312"/>
          <w:snapToGrid/>
          <w:color w:val="auto"/>
          <w:kern w:val="2"/>
          <w:sz w:val="32"/>
          <w:szCs w:val="32"/>
          <w:lang w:val="en-US" w:eastAsia="zh-CN" w:bidi="ar-SA"/>
        </w:rPr>
        <w:t>发展</w:t>
      </w:r>
      <w:r>
        <w:rPr>
          <w:rFonts w:hint="default" w:ascii="仿宋_GB2312" w:hAnsi="仿宋_GB2312" w:eastAsia="仿宋_GB2312" w:cs="仿宋_GB2312"/>
          <w:snapToGrid/>
          <w:color w:val="auto"/>
          <w:kern w:val="2"/>
          <w:sz w:val="32"/>
          <w:szCs w:val="32"/>
          <w:lang w:val="en-US" w:eastAsia="zh-CN" w:bidi="ar-SA"/>
        </w:rPr>
        <w:t>奖补政策，引导有能力、有实力的主体</w:t>
      </w:r>
      <w:r>
        <w:rPr>
          <w:rFonts w:hint="eastAsia" w:ascii="仿宋_GB2312" w:hAnsi="仿宋_GB2312" w:eastAsia="仿宋_GB2312" w:cs="仿宋_GB2312"/>
          <w:snapToGrid/>
          <w:color w:val="auto"/>
          <w:kern w:val="2"/>
          <w:sz w:val="32"/>
          <w:szCs w:val="32"/>
          <w:lang w:val="en-US" w:eastAsia="zh-CN" w:bidi="ar-SA"/>
        </w:rPr>
        <w:t>投入建设</w:t>
      </w:r>
      <w:r>
        <w:rPr>
          <w:rFonts w:hint="default" w:ascii="仿宋_GB2312" w:hAnsi="仿宋_GB2312" w:eastAsia="仿宋_GB2312" w:cs="仿宋_GB2312"/>
          <w:snapToGrid/>
          <w:color w:val="auto"/>
          <w:kern w:val="2"/>
          <w:sz w:val="32"/>
          <w:szCs w:val="32"/>
          <w:lang w:val="en-US" w:eastAsia="zh-CN" w:bidi="ar-SA"/>
        </w:rPr>
        <w:t>，起到良好的示范带动作用。</w:t>
      </w:r>
    </w:p>
    <w:p w14:paraId="67F4AEF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napToGrid/>
          <w:color w:val="auto"/>
          <w:kern w:val="2"/>
          <w:sz w:val="32"/>
          <w:szCs w:val="32"/>
          <w:lang w:val="en-US" w:eastAsia="zh-CN" w:bidi="ar-SA"/>
        </w:rPr>
      </w:pPr>
      <w:r>
        <w:rPr>
          <w:rFonts w:hint="default" w:ascii="楷体_GB2312" w:hAnsi="楷体_GB2312" w:eastAsia="楷体_GB2312" w:cs="楷体_GB2312"/>
          <w:snapToGrid/>
          <w:color w:val="auto"/>
          <w:kern w:val="2"/>
          <w:sz w:val="32"/>
          <w:szCs w:val="32"/>
          <w:lang w:val="en-US" w:eastAsia="zh-CN" w:bidi="ar-SA"/>
        </w:rPr>
        <w:t>（三）加强技术指导。</w:t>
      </w:r>
      <w:r>
        <w:rPr>
          <w:rFonts w:hint="eastAsia" w:ascii="仿宋_GB2312" w:hAnsi="仿宋_GB2312" w:eastAsia="仿宋_GB2312" w:cs="仿宋_GB2312"/>
          <w:snapToGrid/>
          <w:color w:val="auto"/>
          <w:kern w:val="2"/>
          <w:sz w:val="32"/>
          <w:szCs w:val="32"/>
          <w:lang w:val="en-US" w:eastAsia="zh-CN" w:bidi="ar-SA"/>
        </w:rPr>
        <w:t>县林业局</w:t>
      </w:r>
      <w:r>
        <w:rPr>
          <w:rFonts w:hint="default" w:ascii="仿宋_GB2312" w:hAnsi="仿宋_GB2312" w:eastAsia="仿宋_GB2312" w:cs="仿宋_GB2312"/>
          <w:snapToGrid/>
          <w:color w:val="auto"/>
          <w:kern w:val="2"/>
          <w:sz w:val="32"/>
          <w:szCs w:val="32"/>
          <w:lang w:val="en-US" w:eastAsia="zh-CN" w:bidi="ar-SA"/>
        </w:rPr>
        <w:t>加强与广东省林业科学研究院、浙江农林大学等省内外高校及市属科研院所等科研机构的合作</w:t>
      </w:r>
      <w:r>
        <w:rPr>
          <w:rFonts w:hint="eastAsia" w:ascii="仿宋_GB2312" w:hAnsi="仿宋_GB2312" w:eastAsia="仿宋_GB2312" w:cs="仿宋_GB2312"/>
          <w:snapToGrid/>
          <w:color w:val="auto"/>
          <w:kern w:val="2"/>
          <w:sz w:val="32"/>
          <w:szCs w:val="32"/>
          <w:lang w:val="en-US" w:eastAsia="zh-CN" w:bidi="ar-SA"/>
        </w:rPr>
        <w:t>。统筹做好技术培训和生产技术推广工作，推进全县竹产业高质量发展。</w:t>
      </w:r>
    </w:p>
    <w:p w14:paraId="180BEFE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（四）保障用地。</w:t>
      </w:r>
      <w:r>
        <w:rPr>
          <w:rFonts w:hint="eastAsia" w:ascii="仿宋_GB2312" w:hAnsi="仿宋_GB2312" w:eastAsia="仿宋_GB2312" w:cs="仿宋_GB2312"/>
          <w:snapToGrid/>
          <w:color w:val="auto"/>
          <w:kern w:val="2"/>
          <w:sz w:val="32"/>
          <w:szCs w:val="32"/>
          <w:lang w:val="en-US" w:eastAsia="zh-CN" w:bidi="ar-SA"/>
        </w:rPr>
        <w:t>相关职能部门要坚持主动靠前服务，加强协同联动，增强发展竹产业用地保障，采取有效措施统筹做好全县竹产业发展用地保障工作。</w:t>
      </w:r>
    </w:p>
    <w:p w14:paraId="673433F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default" w:ascii="楷体_GB2312" w:hAnsi="楷体_GB2312" w:eastAsia="楷体_GB2312" w:cs="楷体_GB2312"/>
          <w:snapToGrid/>
          <w:color w:val="auto"/>
          <w:kern w:val="2"/>
          <w:sz w:val="32"/>
          <w:szCs w:val="32"/>
          <w:lang w:val="en-US" w:eastAsia="zh-CN" w:bidi="ar-SA"/>
        </w:rPr>
        <w:t>（五）强化资金监管。</w:t>
      </w:r>
      <w:r>
        <w:rPr>
          <w:rFonts w:hint="eastAsia" w:ascii="仿宋_GB2312" w:hAnsi="仿宋_GB2312" w:eastAsia="仿宋_GB2312" w:cs="仿宋_GB2312"/>
          <w:snapToGrid/>
          <w:color w:val="auto"/>
          <w:kern w:val="2"/>
          <w:sz w:val="32"/>
          <w:szCs w:val="32"/>
          <w:lang w:val="en-US" w:eastAsia="zh-CN" w:bidi="ar-SA"/>
        </w:rPr>
        <w:t>对弄虚作假骗取、截留、挪用、挤占 奖补资金等违反财经纪律行为的，将按照有关规定进行处理。</w:t>
      </w:r>
    </w:p>
    <w:p w14:paraId="589164C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snapToGrid/>
          <w:color w:val="auto"/>
          <w:kern w:val="2"/>
          <w:sz w:val="32"/>
          <w:szCs w:val="32"/>
          <w:lang w:val="en-US" w:eastAsia="zh-CN" w:bidi="ar-SA"/>
        </w:rPr>
      </w:pPr>
      <w:r>
        <w:rPr>
          <w:rFonts w:hint="default" w:ascii="黑体" w:hAnsi="黑体" w:eastAsia="黑体" w:cs="黑体"/>
          <w:snapToGrid/>
          <w:color w:val="auto"/>
          <w:kern w:val="2"/>
          <w:sz w:val="32"/>
          <w:szCs w:val="32"/>
          <w:lang w:val="en-US" w:eastAsia="zh-CN" w:bidi="ar-SA"/>
        </w:rPr>
        <w:t>本方案</w:t>
      </w:r>
      <w:r>
        <w:rPr>
          <w:rFonts w:hint="eastAsia" w:ascii="黑体" w:hAnsi="黑体" w:eastAsia="黑体" w:cs="黑体"/>
          <w:snapToGrid/>
          <w:color w:val="auto"/>
          <w:kern w:val="2"/>
          <w:sz w:val="32"/>
          <w:szCs w:val="32"/>
          <w:lang w:val="en-US" w:eastAsia="zh-CN" w:bidi="ar-SA"/>
        </w:rPr>
        <w:t>试用3年，在执行中逐步完善，</w:t>
      </w:r>
      <w:r>
        <w:rPr>
          <w:rFonts w:hint="default" w:ascii="黑体" w:hAnsi="黑体" w:eastAsia="黑体" w:cs="黑体"/>
          <w:snapToGrid/>
          <w:color w:val="auto"/>
          <w:kern w:val="2"/>
          <w:sz w:val="32"/>
          <w:szCs w:val="32"/>
          <w:lang w:val="en-US" w:eastAsia="zh-CN" w:bidi="ar-SA"/>
        </w:rPr>
        <w:t>最终由县</w:t>
      </w:r>
      <w:r>
        <w:rPr>
          <w:rFonts w:hint="eastAsia" w:ascii="黑体" w:hAnsi="黑体" w:eastAsia="黑体" w:cs="黑体"/>
          <w:snapToGrid/>
          <w:color w:val="auto"/>
          <w:kern w:val="2"/>
          <w:sz w:val="32"/>
          <w:szCs w:val="32"/>
          <w:lang w:val="en-US" w:eastAsia="zh-CN" w:bidi="ar-SA"/>
        </w:rPr>
        <w:t>林业</w:t>
      </w:r>
      <w:r>
        <w:rPr>
          <w:rFonts w:hint="default" w:ascii="黑体" w:hAnsi="黑体" w:eastAsia="黑体" w:cs="黑体"/>
          <w:snapToGrid/>
          <w:color w:val="auto"/>
          <w:kern w:val="2"/>
          <w:sz w:val="32"/>
          <w:szCs w:val="32"/>
          <w:lang w:val="en-US" w:eastAsia="zh-CN" w:bidi="ar-SA"/>
        </w:rPr>
        <w:t>局负责解释。</w:t>
      </w:r>
    </w:p>
    <w:p w14:paraId="5B9EE68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snapToGrid/>
          <w:color w:val="auto"/>
          <w:kern w:val="2"/>
          <w:sz w:val="32"/>
          <w:szCs w:val="32"/>
          <w:lang w:val="en-US" w:eastAsia="zh-CN" w:bidi="ar-SA"/>
        </w:rPr>
      </w:pPr>
    </w:p>
    <w:p w14:paraId="32EB41E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附件：1.新丰县竹产业发展奖补资金申请表</w:t>
      </w:r>
    </w:p>
    <w:p w14:paraId="32D19C5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仿宋_GB2312" w:eastAsia="仿宋_GB2312" w:cs="仿宋_GB2312"/>
          <w:snapToGrid/>
          <w:color w:val="auto"/>
          <w:kern w:val="2"/>
          <w:sz w:val="32"/>
          <w:szCs w:val="32"/>
          <w:lang w:val="en-US" w:eastAsia="zh-CN" w:bidi="ar-SA"/>
        </w:rPr>
        <w:sectPr>
          <w:headerReference r:id="rId3" w:type="default"/>
          <w:footerReference r:id="rId4" w:type="default"/>
          <w:pgSz w:w="11906" w:h="16839"/>
          <w:pgMar w:top="2098" w:right="1474" w:bottom="1984" w:left="1587" w:header="0" w:footer="1331" w:gutter="0"/>
          <w:pgBorders>
            <w:top w:val="none" w:sz="0" w:space="0"/>
            <w:left w:val="none" w:sz="0" w:space="0"/>
            <w:bottom w:val="none" w:sz="0" w:space="0"/>
            <w:right w:val="none" w:sz="0" w:space="0"/>
          </w:pgBorders>
          <w:pgNumType w:fmt="decimal"/>
          <w:cols w:space="720" w:num="1"/>
        </w:sectPr>
      </w:pPr>
      <w:r>
        <w:rPr>
          <w:rFonts w:hint="eastAsia" w:ascii="仿宋_GB2312" w:hAnsi="仿宋_GB2312" w:eastAsia="仿宋_GB2312" w:cs="仿宋_GB2312"/>
          <w:snapToGrid/>
          <w:color w:val="auto"/>
          <w:kern w:val="2"/>
          <w:sz w:val="32"/>
          <w:szCs w:val="32"/>
          <w:lang w:val="en-US" w:eastAsia="zh-CN" w:bidi="ar-SA"/>
        </w:rPr>
        <w:t>2.新丰县竹产业发展奖补项目验收表</w:t>
      </w:r>
    </w:p>
    <w:p w14:paraId="19D41161">
      <w:pPr>
        <w:keepNext w:val="0"/>
        <w:keepLines w:val="0"/>
        <w:pageBreakBefore w:val="0"/>
        <w:kinsoku/>
        <w:wordWrap/>
        <w:overflowPunct/>
        <w:topLinePunct w:val="0"/>
        <w:autoSpaceDN/>
        <w:bidi w:val="0"/>
        <w:spacing w:line="576" w:lineRule="exact"/>
        <w:jc w:val="both"/>
        <w:rPr>
          <w:rFonts w:hint="eastAsia" w:ascii="宋体" w:hAnsi="宋体" w:cs="宋体"/>
          <w:b w:val="0"/>
          <w:bCs w:val="0"/>
          <w:i w:val="0"/>
          <w:iCs w:val="0"/>
          <w:color w:val="auto"/>
          <w:kern w:val="0"/>
          <w:sz w:val="28"/>
          <w:szCs w:val="28"/>
          <w:u w:val="none"/>
          <w:lang w:val="en-US" w:eastAsia="zh-CN" w:bidi="ar"/>
        </w:rPr>
      </w:pPr>
      <w:r>
        <w:rPr>
          <w:rFonts w:hint="eastAsia" w:ascii="宋体" w:hAnsi="宋体" w:cs="宋体"/>
          <w:b w:val="0"/>
          <w:bCs w:val="0"/>
          <w:i w:val="0"/>
          <w:iCs w:val="0"/>
          <w:color w:val="auto"/>
          <w:kern w:val="0"/>
          <w:sz w:val="28"/>
          <w:szCs w:val="28"/>
          <w:u w:val="none"/>
          <w:lang w:val="en-US" w:eastAsia="zh-CN" w:bidi="ar"/>
        </w:rPr>
        <w:t xml:space="preserve">附件1：  </w:t>
      </w:r>
    </w:p>
    <w:p w14:paraId="2B33924D">
      <w:pPr>
        <w:keepNext w:val="0"/>
        <w:keepLines w:val="0"/>
        <w:pageBreakBefore w:val="0"/>
        <w:kinsoku/>
        <w:wordWrap/>
        <w:overflowPunct/>
        <w:topLinePunct w:val="0"/>
        <w:autoSpaceDN/>
        <w:bidi w:val="0"/>
        <w:spacing w:line="576" w:lineRule="exact"/>
        <w:ind w:firstLine="803" w:firstLineChars="200"/>
        <w:jc w:val="both"/>
        <w:rPr>
          <w:rFonts w:hint="eastAsia" w:ascii="宋体" w:hAnsi="宋体" w:eastAsia="宋体" w:cs="宋体"/>
          <w:b/>
          <w:bCs/>
          <w:i w:val="0"/>
          <w:iCs w:val="0"/>
          <w:color w:val="auto"/>
          <w:kern w:val="0"/>
          <w:sz w:val="40"/>
          <w:szCs w:val="40"/>
          <w:u w:val="none"/>
          <w:lang w:val="en-US" w:eastAsia="zh-CN" w:bidi="ar"/>
        </w:rPr>
      </w:pPr>
      <w:r>
        <w:rPr>
          <w:rFonts w:hint="eastAsia" w:ascii="宋体" w:hAnsi="宋体" w:eastAsia="宋体" w:cs="宋体"/>
          <w:b/>
          <w:bCs/>
          <w:i w:val="0"/>
          <w:iCs w:val="0"/>
          <w:color w:val="auto"/>
          <w:kern w:val="0"/>
          <w:sz w:val="40"/>
          <w:szCs w:val="40"/>
          <w:u w:val="none"/>
          <w:lang w:val="en-US" w:eastAsia="zh-CN" w:bidi="ar"/>
        </w:rPr>
        <w:t xml:space="preserve"> 新丰县竹产业发展奖补资金申请表</w:t>
      </w:r>
    </w:p>
    <w:tbl>
      <w:tblPr>
        <w:tblStyle w:val="7"/>
        <w:tblpPr w:leftFromText="180" w:rightFromText="180" w:vertAnchor="text" w:horzAnchor="page" w:tblpX="1453" w:tblpY="143"/>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272"/>
        <w:gridCol w:w="1627"/>
        <w:gridCol w:w="281"/>
        <w:gridCol w:w="298"/>
        <w:gridCol w:w="1290"/>
        <w:gridCol w:w="2018"/>
      </w:tblGrid>
      <w:tr w14:paraId="78A4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noWrap w:val="0"/>
            <w:vAlign w:val="center"/>
          </w:tcPr>
          <w:p w14:paraId="5CE5F0C1">
            <w:pPr>
              <w:keepNext w:val="0"/>
              <w:keepLines w:val="0"/>
              <w:pageBreakBefore w:val="0"/>
              <w:widowControl w:val="0"/>
              <w:kinsoku/>
              <w:wordWrap/>
              <w:overflowPunct/>
              <w:topLinePunct w:val="0"/>
              <w:autoSpaceDE/>
              <w:autoSpaceDN/>
              <w:bidi w:val="0"/>
              <w:adjustRightInd/>
              <w:snapToGrid/>
              <w:spacing w:line="576" w:lineRule="exact"/>
              <w:jc w:val="center"/>
              <w:outlineLvl w:val="9"/>
              <w:rPr>
                <w:sz w:val="21"/>
                <w:szCs w:val="21"/>
                <w:highlight w:val="none"/>
              </w:rPr>
            </w:pPr>
            <w:r>
              <w:rPr>
                <w:rFonts w:hint="eastAsia"/>
                <w:sz w:val="21"/>
                <w:szCs w:val="21"/>
                <w:highlight w:val="none"/>
                <w:lang w:eastAsia="zh-CN"/>
              </w:rPr>
              <w:t>申请人（</w:t>
            </w:r>
            <w:r>
              <w:rPr>
                <w:rFonts w:hint="eastAsia"/>
                <w:sz w:val="21"/>
                <w:szCs w:val="21"/>
                <w:highlight w:val="none"/>
                <w:lang w:val="en-US" w:eastAsia="zh-CN"/>
              </w:rPr>
              <w:t>经营主体</w:t>
            </w:r>
            <w:r>
              <w:rPr>
                <w:rFonts w:hint="eastAsia"/>
                <w:sz w:val="21"/>
                <w:szCs w:val="21"/>
                <w:highlight w:val="none"/>
                <w:lang w:eastAsia="zh-CN"/>
              </w:rPr>
              <w:t>）名称</w:t>
            </w:r>
          </w:p>
        </w:tc>
        <w:tc>
          <w:tcPr>
            <w:tcW w:w="2272" w:type="dxa"/>
            <w:noWrap w:val="0"/>
            <w:vAlign w:val="center"/>
          </w:tcPr>
          <w:p w14:paraId="2D6A85AD">
            <w:pPr>
              <w:keepNext w:val="0"/>
              <w:keepLines w:val="0"/>
              <w:pageBreakBefore w:val="0"/>
              <w:widowControl w:val="0"/>
              <w:kinsoku/>
              <w:wordWrap/>
              <w:overflowPunct/>
              <w:topLinePunct w:val="0"/>
              <w:autoSpaceDE/>
              <w:autoSpaceDN/>
              <w:bidi w:val="0"/>
              <w:adjustRightInd/>
              <w:snapToGrid/>
              <w:spacing w:line="576" w:lineRule="exact"/>
              <w:ind w:right="-760" w:rightChars="-362"/>
              <w:jc w:val="center"/>
              <w:outlineLvl w:val="9"/>
              <w:rPr>
                <w:sz w:val="21"/>
                <w:szCs w:val="21"/>
                <w:highlight w:val="none"/>
              </w:rPr>
            </w:pPr>
          </w:p>
        </w:tc>
        <w:tc>
          <w:tcPr>
            <w:tcW w:w="1908" w:type="dxa"/>
            <w:gridSpan w:val="2"/>
            <w:noWrap w:val="0"/>
            <w:vAlign w:val="center"/>
          </w:tcPr>
          <w:p w14:paraId="05B057CF">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sz w:val="21"/>
                <w:szCs w:val="21"/>
                <w:highlight w:val="none"/>
                <w:lang w:val="en-US" w:eastAsia="zh-CN"/>
              </w:rPr>
            </w:pPr>
            <w:r>
              <w:rPr>
                <w:rFonts w:hint="eastAsia"/>
                <w:sz w:val="21"/>
                <w:szCs w:val="21"/>
                <w:highlight w:val="none"/>
                <w:lang w:eastAsia="zh-CN"/>
              </w:rPr>
              <w:t>身份证号码（社会统</w:t>
            </w:r>
            <w:r>
              <w:rPr>
                <w:rFonts w:hint="eastAsia"/>
                <w:sz w:val="21"/>
                <w:szCs w:val="21"/>
                <w:highlight w:val="none"/>
                <w:lang w:val="en-US" w:eastAsia="zh-CN"/>
              </w:rPr>
              <w:t xml:space="preserve">  </w:t>
            </w:r>
            <w:r>
              <w:rPr>
                <w:rFonts w:hint="eastAsia"/>
                <w:sz w:val="21"/>
                <w:szCs w:val="21"/>
                <w:highlight w:val="none"/>
                <w:lang w:eastAsia="zh-CN"/>
              </w:rPr>
              <w:t>一信用代码）</w:t>
            </w:r>
          </w:p>
        </w:tc>
        <w:tc>
          <w:tcPr>
            <w:tcW w:w="3606" w:type="dxa"/>
            <w:gridSpan w:val="3"/>
            <w:noWrap w:val="0"/>
            <w:vAlign w:val="center"/>
          </w:tcPr>
          <w:p w14:paraId="76BFDECE">
            <w:pPr>
              <w:keepNext w:val="0"/>
              <w:keepLines w:val="0"/>
              <w:pageBreakBefore w:val="0"/>
              <w:widowControl w:val="0"/>
              <w:kinsoku/>
              <w:wordWrap/>
              <w:overflowPunct/>
              <w:topLinePunct w:val="0"/>
              <w:autoSpaceDE/>
              <w:autoSpaceDN/>
              <w:bidi w:val="0"/>
              <w:adjustRightInd/>
              <w:snapToGrid/>
              <w:spacing w:line="576" w:lineRule="exact"/>
              <w:jc w:val="center"/>
              <w:outlineLvl w:val="9"/>
              <w:rPr>
                <w:sz w:val="21"/>
                <w:szCs w:val="21"/>
                <w:highlight w:val="none"/>
              </w:rPr>
            </w:pPr>
          </w:p>
        </w:tc>
      </w:tr>
      <w:tr w14:paraId="4C93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03" w:type="dxa"/>
            <w:noWrap w:val="0"/>
            <w:vAlign w:val="center"/>
          </w:tcPr>
          <w:p w14:paraId="3A82112E">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ascii="Calibri" w:hAnsi="Calibri" w:eastAsia="宋体" w:cs="Times New Roman"/>
                <w:kern w:val="2"/>
                <w:sz w:val="21"/>
                <w:szCs w:val="21"/>
                <w:highlight w:val="none"/>
                <w:lang w:val="en-US" w:eastAsia="zh-CN" w:bidi="ar-SA"/>
              </w:rPr>
            </w:pPr>
            <w:r>
              <w:rPr>
                <w:rFonts w:hint="eastAsia"/>
                <w:sz w:val="21"/>
                <w:szCs w:val="21"/>
                <w:highlight w:val="none"/>
                <w:lang w:val="en-US" w:eastAsia="zh-CN"/>
              </w:rPr>
              <w:t>法人</w:t>
            </w:r>
          </w:p>
        </w:tc>
        <w:tc>
          <w:tcPr>
            <w:tcW w:w="2272" w:type="dxa"/>
            <w:noWrap w:val="0"/>
            <w:vAlign w:val="center"/>
          </w:tcPr>
          <w:p w14:paraId="22B28872">
            <w:pPr>
              <w:keepNext w:val="0"/>
              <w:keepLines w:val="0"/>
              <w:pageBreakBefore w:val="0"/>
              <w:widowControl w:val="0"/>
              <w:kinsoku/>
              <w:wordWrap/>
              <w:overflowPunct/>
              <w:topLinePunct w:val="0"/>
              <w:autoSpaceDE/>
              <w:autoSpaceDN/>
              <w:bidi w:val="0"/>
              <w:adjustRightInd/>
              <w:snapToGrid/>
              <w:spacing w:line="576" w:lineRule="exact"/>
              <w:ind w:right="-760" w:rightChars="-362"/>
              <w:jc w:val="center"/>
              <w:outlineLvl w:val="9"/>
              <w:rPr>
                <w:rFonts w:ascii="Calibri" w:hAnsi="Calibri" w:eastAsia="宋体" w:cs="Times New Roman"/>
                <w:kern w:val="2"/>
                <w:sz w:val="21"/>
                <w:szCs w:val="21"/>
                <w:highlight w:val="none"/>
                <w:lang w:val="en-US" w:eastAsia="zh-CN" w:bidi="ar-SA"/>
              </w:rPr>
            </w:pPr>
          </w:p>
        </w:tc>
        <w:tc>
          <w:tcPr>
            <w:tcW w:w="1908" w:type="dxa"/>
            <w:gridSpan w:val="2"/>
            <w:noWrap w:val="0"/>
            <w:vAlign w:val="center"/>
          </w:tcPr>
          <w:p w14:paraId="351DA23B">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ascii="Calibri" w:hAnsi="Calibri" w:eastAsia="宋体" w:cs="Times New Roman"/>
                <w:kern w:val="2"/>
                <w:sz w:val="21"/>
                <w:szCs w:val="21"/>
                <w:highlight w:val="none"/>
                <w:lang w:val="en-US" w:eastAsia="zh-CN" w:bidi="ar-SA"/>
              </w:rPr>
            </w:pPr>
            <w:r>
              <w:rPr>
                <w:rFonts w:hint="eastAsia"/>
                <w:sz w:val="21"/>
                <w:szCs w:val="21"/>
                <w:highlight w:val="none"/>
                <w:lang w:val="en-US" w:eastAsia="zh-CN"/>
              </w:rPr>
              <w:t>法人</w:t>
            </w:r>
            <w:r>
              <w:rPr>
                <w:rFonts w:hint="eastAsia"/>
                <w:sz w:val="21"/>
                <w:szCs w:val="21"/>
                <w:highlight w:val="none"/>
                <w:lang w:eastAsia="zh-CN"/>
              </w:rPr>
              <w:t>身份证号码</w:t>
            </w:r>
          </w:p>
        </w:tc>
        <w:tc>
          <w:tcPr>
            <w:tcW w:w="3606" w:type="dxa"/>
            <w:gridSpan w:val="3"/>
            <w:noWrap w:val="0"/>
            <w:vAlign w:val="center"/>
          </w:tcPr>
          <w:p w14:paraId="4A2A0906">
            <w:pPr>
              <w:keepNext w:val="0"/>
              <w:keepLines w:val="0"/>
              <w:pageBreakBefore w:val="0"/>
              <w:widowControl w:val="0"/>
              <w:kinsoku/>
              <w:wordWrap/>
              <w:overflowPunct/>
              <w:topLinePunct w:val="0"/>
              <w:autoSpaceDE/>
              <w:autoSpaceDN/>
              <w:bidi w:val="0"/>
              <w:adjustRightInd/>
              <w:snapToGrid/>
              <w:spacing w:line="576" w:lineRule="exact"/>
              <w:jc w:val="center"/>
              <w:outlineLvl w:val="9"/>
              <w:rPr>
                <w:sz w:val="21"/>
                <w:szCs w:val="21"/>
                <w:highlight w:val="none"/>
              </w:rPr>
            </w:pPr>
          </w:p>
        </w:tc>
      </w:tr>
      <w:tr w14:paraId="19A9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03" w:type="dxa"/>
            <w:noWrap w:val="0"/>
            <w:vAlign w:val="center"/>
          </w:tcPr>
          <w:p w14:paraId="0D87822C">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sz w:val="21"/>
                <w:szCs w:val="21"/>
                <w:highlight w:val="none"/>
                <w:lang w:eastAsia="zh-CN"/>
              </w:rPr>
            </w:pPr>
            <w:r>
              <w:rPr>
                <w:rFonts w:hint="eastAsia"/>
                <w:sz w:val="21"/>
                <w:szCs w:val="21"/>
                <w:highlight w:val="none"/>
                <w:lang w:eastAsia="zh-CN"/>
              </w:rPr>
              <w:t>详细住址</w:t>
            </w:r>
          </w:p>
        </w:tc>
        <w:tc>
          <w:tcPr>
            <w:tcW w:w="7786" w:type="dxa"/>
            <w:gridSpan w:val="6"/>
            <w:noWrap w:val="0"/>
            <w:vAlign w:val="center"/>
          </w:tcPr>
          <w:p w14:paraId="3F6EF600">
            <w:pPr>
              <w:keepNext w:val="0"/>
              <w:keepLines w:val="0"/>
              <w:pageBreakBefore w:val="0"/>
              <w:widowControl w:val="0"/>
              <w:kinsoku/>
              <w:wordWrap/>
              <w:overflowPunct/>
              <w:topLinePunct w:val="0"/>
              <w:autoSpaceDE/>
              <w:autoSpaceDN/>
              <w:bidi w:val="0"/>
              <w:adjustRightInd/>
              <w:snapToGrid/>
              <w:spacing w:line="576" w:lineRule="exact"/>
              <w:jc w:val="center"/>
              <w:outlineLvl w:val="9"/>
              <w:rPr>
                <w:sz w:val="21"/>
                <w:szCs w:val="21"/>
                <w:highlight w:val="none"/>
              </w:rPr>
            </w:pPr>
          </w:p>
        </w:tc>
      </w:tr>
      <w:tr w14:paraId="4219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703" w:type="dxa"/>
            <w:vMerge w:val="restart"/>
            <w:noWrap w:val="0"/>
            <w:vAlign w:val="center"/>
          </w:tcPr>
          <w:p w14:paraId="5F7F2F9C">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sz w:val="21"/>
                <w:szCs w:val="21"/>
                <w:highlight w:val="none"/>
                <w:lang w:eastAsia="zh-CN"/>
              </w:rPr>
            </w:pPr>
            <w:r>
              <w:rPr>
                <w:rFonts w:hint="eastAsia"/>
                <w:sz w:val="21"/>
                <w:szCs w:val="21"/>
                <w:highlight w:val="none"/>
              </w:rPr>
              <w:t>联系电话</w:t>
            </w:r>
          </w:p>
        </w:tc>
        <w:tc>
          <w:tcPr>
            <w:tcW w:w="2272" w:type="dxa"/>
            <w:vMerge w:val="restart"/>
            <w:noWrap w:val="0"/>
            <w:vAlign w:val="center"/>
          </w:tcPr>
          <w:p w14:paraId="45E3C06A">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sz w:val="21"/>
                <w:szCs w:val="21"/>
                <w:highlight w:val="none"/>
                <w:lang w:eastAsia="zh-CN"/>
              </w:rPr>
            </w:pPr>
            <w:r>
              <w:rPr>
                <w:rFonts w:hint="eastAsia"/>
                <w:sz w:val="21"/>
                <w:szCs w:val="21"/>
                <w:highlight w:val="none"/>
                <w:lang w:val="en-US" w:eastAsia="zh-CN"/>
              </w:rPr>
              <w:t xml:space="preserve">    </w:t>
            </w:r>
          </w:p>
        </w:tc>
        <w:tc>
          <w:tcPr>
            <w:tcW w:w="1627" w:type="dxa"/>
            <w:noWrap w:val="0"/>
            <w:vAlign w:val="center"/>
          </w:tcPr>
          <w:p w14:paraId="386F78A6">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sz w:val="21"/>
                <w:szCs w:val="21"/>
                <w:highlight w:val="none"/>
                <w:lang w:eastAsia="zh-CN"/>
              </w:rPr>
            </w:pPr>
            <w:r>
              <w:rPr>
                <w:rFonts w:hint="eastAsia"/>
                <w:sz w:val="21"/>
                <w:szCs w:val="21"/>
                <w:highlight w:val="none"/>
                <w:lang w:eastAsia="zh-CN"/>
              </w:rPr>
              <w:t>开户银行</w:t>
            </w:r>
          </w:p>
        </w:tc>
        <w:tc>
          <w:tcPr>
            <w:tcW w:w="3887" w:type="dxa"/>
            <w:gridSpan w:val="4"/>
            <w:noWrap w:val="0"/>
            <w:vAlign w:val="center"/>
          </w:tcPr>
          <w:p w14:paraId="42EFE766">
            <w:pPr>
              <w:keepNext w:val="0"/>
              <w:keepLines w:val="0"/>
              <w:pageBreakBefore w:val="0"/>
              <w:widowControl w:val="0"/>
              <w:kinsoku/>
              <w:wordWrap/>
              <w:overflowPunct/>
              <w:topLinePunct w:val="0"/>
              <w:autoSpaceDE/>
              <w:autoSpaceDN/>
              <w:bidi w:val="0"/>
              <w:adjustRightInd/>
              <w:snapToGrid/>
              <w:spacing w:line="576" w:lineRule="exact"/>
              <w:jc w:val="center"/>
              <w:outlineLvl w:val="9"/>
              <w:rPr>
                <w:sz w:val="21"/>
                <w:szCs w:val="21"/>
                <w:highlight w:val="none"/>
              </w:rPr>
            </w:pPr>
          </w:p>
        </w:tc>
      </w:tr>
      <w:tr w14:paraId="44FD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3" w:type="dxa"/>
            <w:vMerge w:val="continue"/>
            <w:noWrap w:val="0"/>
            <w:vAlign w:val="center"/>
          </w:tcPr>
          <w:p w14:paraId="1AADA5C3">
            <w:pPr>
              <w:keepNext w:val="0"/>
              <w:keepLines w:val="0"/>
              <w:pageBreakBefore w:val="0"/>
              <w:widowControl w:val="0"/>
              <w:kinsoku/>
              <w:wordWrap/>
              <w:overflowPunct/>
              <w:topLinePunct w:val="0"/>
              <w:autoSpaceDE/>
              <w:autoSpaceDN/>
              <w:bidi w:val="0"/>
              <w:adjustRightInd/>
              <w:snapToGrid/>
              <w:spacing w:line="576" w:lineRule="exact"/>
              <w:jc w:val="center"/>
              <w:outlineLvl w:val="9"/>
            </w:pPr>
          </w:p>
        </w:tc>
        <w:tc>
          <w:tcPr>
            <w:tcW w:w="2272" w:type="dxa"/>
            <w:vMerge w:val="continue"/>
            <w:noWrap w:val="0"/>
            <w:vAlign w:val="center"/>
          </w:tcPr>
          <w:p w14:paraId="705C3B28">
            <w:pPr>
              <w:keepNext w:val="0"/>
              <w:keepLines w:val="0"/>
              <w:pageBreakBefore w:val="0"/>
              <w:widowControl w:val="0"/>
              <w:kinsoku/>
              <w:wordWrap/>
              <w:overflowPunct/>
              <w:topLinePunct w:val="0"/>
              <w:autoSpaceDE/>
              <w:autoSpaceDN/>
              <w:bidi w:val="0"/>
              <w:adjustRightInd/>
              <w:snapToGrid/>
              <w:spacing w:line="576" w:lineRule="exact"/>
              <w:jc w:val="center"/>
              <w:outlineLvl w:val="9"/>
            </w:pPr>
          </w:p>
        </w:tc>
        <w:tc>
          <w:tcPr>
            <w:tcW w:w="1627" w:type="dxa"/>
            <w:noWrap w:val="0"/>
            <w:vAlign w:val="center"/>
          </w:tcPr>
          <w:p w14:paraId="63A14CB4">
            <w:pPr>
              <w:keepNext w:val="0"/>
              <w:keepLines w:val="0"/>
              <w:pageBreakBefore w:val="0"/>
              <w:widowControl w:val="0"/>
              <w:kinsoku/>
              <w:wordWrap/>
              <w:overflowPunct/>
              <w:topLinePunct w:val="0"/>
              <w:autoSpaceDE/>
              <w:autoSpaceDN/>
              <w:bidi w:val="0"/>
              <w:adjustRightInd/>
              <w:snapToGrid/>
              <w:spacing w:line="576" w:lineRule="exact"/>
              <w:jc w:val="center"/>
              <w:outlineLvl w:val="9"/>
            </w:pPr>
            <w:r>
              <w:rPr>
                <w:rFonts w:hint="eastAsia"/>
                <w:sz w:val="21"/>
                <w:szCs w:val="21"/>
                <w:highlight w:val="none"/>
                <w:lang w:val="en-US" w:eastAsia="zh-CN"/>
              </w:rPr>
              <w:t>法人</w:t>
            </w:r>
            <w:r>
              <w:rPr>
                <w:rFonts w:hint="eastAsia"/>
                <w:sz w:val="21"/>
                <w:szCs w:val="21"/>
                <w:highlight w:val="none"/>
                <w:lang w:eastAsia="zh-CN"/>
              </w:rPr>
              <w:t>银行账号</w:t>
            </w:r>
          </w:p>
        </w:tc>
        <w:tc>
          <w:tcPr>
            <w:tcW w:w="3887" w:type="dxa"/>
            <w:gridSpan w:val="4"/>
            <w:noWrap w:val="0"/>
            <w:vAlign w:val="center"/>
          </w:tcPr>
          <w:p w14:paraId="58BA9253">
            <w:pPr>
              <w:keepNext w:val="0"/>
              <w:keepLines w:val="0"/>
              <w:pageBreakBefore w:val="0"/>
              <w:widowControl w:val="0"/>
              <w:kinsoku/>
              <w:wordWrap/>
              <w:overflowPunct/>
              <w:topLinePunct w:val="0"/>
              <w:autoSpaceDE/>
              <w:autoSpaceDN/>
              <w:bidi w:val="0"/>
              <w:adjustRightInd/>
              <w:snapToGrid/>
              <w:spacing w:line="576" w:lineRule="exact"/>
              <w:jc w:val="center"/>
              <w:outlineLvl w:val="9"/>
              <w:rPr>
                <w:sz w:val="21"/>
                <w:szCs w:val="21"/>
                <w:highlight w:val="none"/>
              </w:rPr>
            </w:pPr>
          </w:p>
        </w:tc>
      </w:tr>
      <w:tr w14:paraId="6622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703" w:type="dxa"/>
            <w:noWrap w:val="0"/>
            <w:vAlign w:val="center"/>
          </w:tcPr>
          <w:p w14:paraId="3104E537">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eastAsia="宋体"/>
                <w:sz w:val="21"/>
                <w:szCs w:val="21"/>
                <w:highlight w:val="none"/>
                <w:lang w:val="en-US" w:eastAsia="zh-CN"/>
              </w:rPr>
            </w:pPr>
            <w:r>
              <w:rPr>
                <w:rFonts w:hint="eastAsia"/>
                <w:sz w:val="21"/>
                <w:szCs w:val="21"/>
                <w:highlight w:val="none"/>
                <w:lang w:eastAsia="zh-CN"/>
              </w:rPr>
              <w:t>申请奖补</w:t>
            </w:r>
            <w:r>
              <w:rPr>
                <w:rFonts w:hint="eastAsia"/>
                <w:sz w:val="21"/>
                <w:szCs w:val="21"/>
                <w:highlight w:val="none"/>
                <w:lang w:val="en-US" w:eastAsia="zh-CN"/>
              </w:rPr>
              <w:t>项目</w:t>
            </w:r>
          </w:p>
        </w:tc>
        <w:tc>
          <w:tcPr>
            <w:tcW w:w="4478" w:type="dxa"/>
            <w:gridSpan w:val="4"/>
            <w:noWrap w:val="0"/>
            <w:vAlign w:val="center"/>
          </w:tcPr>
          <w:p w14:paraId="7BE0D0EB">
            <w:pPr>
              <w:keepNext w:val="0"/>
              <w:keepLines w:val="0"/>
              <w:pageBreakBefore w:val="0"/>
              <w:widowControl w:val="0"/>
              <w:kinsoku/>
              <w:wordWrap/>
              <w:overflowPunct/>
              <w:topLinePunct w:val="0"/>
              <w:autoSpaceDE/>
              <w:autoSpaceDN/>
              <w:bidi w:val="0"/>
              <w:adjustRightInd/>
              <w:snapToGrid/>
              <w:spacing w:line="576" w:lineRule="exact"/>
              <w:jc w:val="center"/>
              <w:outlineLvl w:val="9"/>
              <w:rPr>
                <w:sz w:val="21"/>
                <w:szCs w:val="21"/>
                <w:highlight w:val="none"/>
              </w:rPr>
            </w:pPr>
          </w:p>
        </w:tc>
        <w:tc>
          <w:tcPr>
            <w:tcW w:w="1290" w:type="dxa"/>
            <w:noWrap w:val="0"/>
            <w:vAlign w:val="center"/>
          </w:tcPr>
          <w:p w14:paraId="31C6735B">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sz w:val="21"/>
                <w:szCs w:val="21"/>
                <w:highlight w:val="none"/>
                <w:lang w:eastAsia="zh-CN"/>
              </w:rPr>
            </w:pPr>
            <w:r>
              <w:rPr>
                <w:rFonts w:hint="eastAsia"/>
                <w:sz w:val="21"/>
                <w:szCs w:val="21"/>
                <w:highlight w:val="none"/>
                <w:lang w:eastAsia="zh-CN"/>
              </w:rPr>
              <w:t>申请</w:t>
            </w:r>
            <w:r>
              <w:rPr>
                <w:rFonts w:hint="eastAsia"/>
                <w:sz w:val="21"/>
                <w:szCs w:val="21"/>
                <w:highlight w:val="none"/>
                <w:lang w:val="en-US" w:eastAsia="zh-CN"/>
              </w:rPr>
              <w:t>补贴</w:t>
            </w:r>
            <w:r>
              <w:rPr>
                <w:rFonts w:hint="eastAsia"/>
                <w:sz w:val="21"/>
                <w:szCs w:val="21"/>
                <w:highlight w:val="none"/>
                <w:lang w:eastAsia="zh-CN"/>
              </w:rPr>
              <w:t>金额（元）</w:t>
            </w:r>
          </w:p>
        </w:tc>
        <w:tc>
          <w:tcPr>
            <w:tcW w:w="2018" w:type="dxa"/>
            <w:noWrap w:val="0"/>
            <w:vAlign w:val="center"/>
          </w:tcPr>
          <w:p w14:paraId="19AC1476">
            <w:pPr>
              <w:keepNext w:val="0"/>
              <w:keepLines w:val="0"/>
              <w:pageBreakBefore w:val="0"/>
              <w:widowControl w:val="0"/>
              <w:kinsoku/>
              <w:wordWrap/>
              <w:overflowPunct/>
              <w:topLinePunct w:val="0"/>
              <w:autoSpaceDE/>
              <w:autoSpaceDN/>
              <w:bidi w:val="0"/>
              <w:adjustRightInd/>
              <w:snapToGrid/>
              <w:spacing w:line="576" w:lineRule="exact"/>
              <w:jc w:val="both"/>
              <w:outlineLvl w:val="9"/>
              <w:rPr>
                <w:rFonts w:hint="eastAsia"/>
                <w:sz w:val="13"/>
                <w:szCs w:val="13"/>
                <w:highlight w:val="none"/>
                <w:lang w:val="en-US" w:eastAsia="zh-CN"/>
              </w:rPr>
            </w:pPr>
          </w:p>
          <w:p w14:paraId="5B79F15C">
            <w:pPr>
              <w:keepNext w:val="0"/>
              <w:keepLines w:val="0"/>
              <w:pageBreakBefore w:val="0"/>
              <w:widowControl w:val="0"/>
              <w:kinsoku/>
              <w:wordWrap/>
              <w:overflowPunct/>
              <w:topLinePunct w:val="0"/>
              <w:autoSpaceDE/>
              <w:autoSpaceDN/>
              <w:bidi w:val="0"/>
              <w:adjustRightInd/>
              <w:snapToGrid/>
              <w:spacing w:line="576" w:lineRule="exact"/>
              <w:jc w:val="both"/>
              <w:outlineLvl w:val="9"/>
              <w:rPr>
                <w:rFonts w:hint="eastAsia" w:eastAsia="宋体"/>
                <w:sz w:val="13"/>
                <w:szCs w:val="13"/>
                <w:highlight w:val="none"/>
                <w:lang w:eastAsia="zh-CN"/>
              </w:rPr>
            </w:pPr>
          </w:p>
        </w:tc>
      </w:tr>
      <w:tr w14:paraId="48AA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703" w:type="dxa"/>
            <w:noWrap w:val="0"/>
            <w:vAlign w:val="center"/>
          </w:tcPr>
          <w:p w14:paraId="4FC3BAED">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sz w:val="21"/>
                <w:szCs w:val="21"/>
                <w:highlight w:val="none"/>
                <w:lang w:val="en-US" w:eastAsia="zh-CN"/>
              </w:rPr>
            </w:pPr>
            <w:r>
              <w:rPr>
                <w:rFonts w:hint="eastAsia"/>
                <w:sz w:val="21"/>
                <w:szCs w:val="21"/>
                <w:highlight w:val="none"/>
                <w:lang w:val="en-US" w:eastAsia="zh-CN"/>
              </w:rPr>
              <w:t>已完成建设内容</w:t>
            </w:r>
          </w:p>
        </w:tc>
        <w:tc>
          <w:tcPr>
            <w:tcW w:w="7786" w:type="dxa"/>
            <w:gridSpan w:val="6"/>
            <w:noWrap w:val="0"/>
            <w:vAlign w:val="center"/>
          </w:tcPr>
          <w:p w14:paraId="5CB600A0">
            <w:pPr>
              <w:keepNext w:val="0"/>
              <w:keepLines w:val="0"/>
              <w:pageBreakBefore w:val="0"/>
              <w:widowControl w:val="0"/>
              <w:kinsoku/>
              <w:wordWrap/>
              <w:overflowPunct/>
              <w:topLinePunct w:val="0"/>
              <w:autoSpaceDE/>
              <w:autoSpaceDN/>
              <w:bidi w:val="0"/>
              <w:adjustRightInd/>
              <w:snapToGrid/>
              <w:spacing w:line="576" w:lineRule="exact"/>
              <w:jc w:val="both"/>
              <w:outlineLvl w:val="9"/>
              <w:rPr>
                <w:rFonts w:hint="eastAsia" w:eastAsia="宋体"/>
                <w:sz w:val="13"/>
                <w:szCs w:val="13"/>
                <w:highlight w:val="none"/>
                <w:lang w:eastAsia="zh-CN"/>
              </w:rPr>
            </w:pPr>
          </w:p>
        </w:tc>
      </w:tr>
      <w:tr w14:paraId="64B8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703" w:type="dxa"/>
            <w:noWrap w:val="0"/>
            <w:vAlign w:val="center"/>
          </w:tcPr>
          <w:p w14:paraId="4772BEF5">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CN"/>
              </w:rPr>
              <w:t>申报对象</w:t>
            </w:r>
          </w:p>
          <w:p w14:paraId="38AEDE03">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CN"/>
              </w:rPr>
              <w:t>承诺</w:t>
            </w:r>
          </w:p>
        </w:tc>
        <w:tc>
          <w:tcPr>
            <w:tcW w:w="7786" w:type="dxa"/>
            <w:gridSpan w:val="6"/>
            <w:noWrap w:val="0"/>
            <w:vAlign w:val="center"/>
          </w:tcPr>
          <w:p w14:paraId="043EC941">
            <w:pPr>
              <w:keepNext w:val="0"/>
              <w:keepLines w:val="0"/>
              <w:pageBreakBefore w:val="0"/>
              <w:widowControl w:val="0"/>
              <w:kinsoku/>
              <w:wordWrap/>
              <w:overflowPunct/>
              <w:topLinePunct w:val="0"/>
              <w:autoSpaceDE/>
              <w:autoSpaceDN/>
              <w:bidi w:val="0"/>
              <w:adjustRightInd/>
              <w:snapToGrid/>
              <w:spacing w:line="576" w:lineRule="exact"/>
              <w:jc w:val="both"/>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 xml:space="preserve">                                                                     </w:t>
            </w:r>
          </w:p>
          <w:p w14:paraId="4479ED8B">
            <w:pPr>
              <w:keepNext w:val="0"/>
              <w:keepLines w:val="0"/>
              <w:pageBreakBefore w:val="0"/>
              <w:widowControl w:val="0"/>
              <w:kinsoku/>
              <w:wordWrap/>
              <w:overflowPunct/>
              <w:topLinePunct w:val="0"/>
              <w:autoSpaceDE/>
              <w:autoSpaceDN/>
              <w:bidi w:val="0"/>
              <w:adjustRightInd/>
              <w:snapToGrid/>
              <w:spacing w:line="576" w:lineRule="exact"/>
              <w:jc w:val="both"/>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 xml:space="preserve">申报对象（盖章或签字并按手印）：                   </w:t>
            </w:r>
            <w:r>
              <w:rPr>
                <w:rFonts w:hint="eastAsia" w:ascii="宋体" w:hAnsi="宋体" w:eastAsia="宋体" w:cs="宋体"/>
                <w:i w:val="0"/>
                <w:iCs w:val="0"/>
                <w:color w:val="auto"/>
                <w:kern w:val="0"/>
                <w:sz w:val="24"/>
                <w:szCs w:val="24"/>
                <w:u w:val="none"/>
                <w:lang w:val="en-US" w:eastAsia="zh-CN" w:bidi="ar"/>
              </w:rPr>
              <w:t xml:space="preserve"> 年    月    日</w:t>
            </w:r>
            <w:r>
              <w:rPr>
                <w:rFonts w:hint="eastAsia"/>
                <w:sz w:val="21"/>
                <w:szCs w:val="21"/>
                <w:highlight w:val="none"/>
                <w:lang w:val="en-US" w:eastAsia="zh-CN"/>
              </w:rPr>
              <w:t xml:space="preserve"> </w:t>
            </w:r>
            <w:r>
              <w:rPr>
                <w:rFonts w:hint="eastAsia" w:eastAsia="宋体" w:cs="Times New Roman"/>
                <w:sz w:val="21"/>
                <w:szCs w:val="21"/>
                <w:highlight w:val="none"/>
                <w:lang w:val="en-US" w:eastAsia="zh-CN"/>
              </w:rPr>
              <w:t xml:space="preserve">         </w:t>
            </w:r>
          </w:p>
        </w:tc>
      </w:tr>
      <w:tr w14:paraId="294B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703" w:type="dxa"/>
            <w:noWrap w:val="0"/>
            <w:vAlign w:val="center"/>
          </w:tcPr>
          <w:p w14:paraId="2A97E1E4">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镇（街）</w:t>
            </w:r>
          </w:p>
          <w:p w14:paraId="71D8A439">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ascii="Calibri" w:hAnsi="Calibri"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审核意见</w:t>
            </w:r>
          </w:p>
        </w:tc>
        <w:tc>
          <w:tcPr>
            <w:tcW w:w="7786" w:type="dxa"/>
            <w:gridSpan w:val="6"/>
            <w:noWrap w:val="0"/>
            <w:vAlign w:val="center"/>
          </w:tcPr>
          <w:p w14:paraId="2FE9995B">
            <w:pPr>
              <w:keepNext w:val="0"/>
              <w:keepLines w:val="0"/>
              <w:pageBreakBefore w:val="0"/>
              <w:widowControl w:val="0"/>
              <w:kinsoku/>
              <w:wordWrap/>
              <w:overflowPunct/>
              <w:topLinePunct w:val="0"/>
              <w:autoSpaceDE/>
              <w:autoSpaceDN/>
              <w:bidi w:val="0"/>
              <w:adjustRightInd/>
              <w:snapToGrid/>
              <w:spacing w:line="576" w:lineRule="exact"/>
              <w:jc w:val="both"/>
              <w:outlineLvl w:val="9"/>
              <w:rPr>
                <w:rFonts w:hint="default" w:ascii="Calibri" w:hAnsi="Calibri" w:eastAsia="宋体" w:cs="Times New Roman"/>
                <w:color w:val="auto"/>
                <w:kern w:val="2"/>
                <w:sz w:val="21"/>
                <w:szCs w:val="21"/>
                <w:highlight w:val="none"/>
                <w:lang w:val="en-US" w:eastAsia="zh-CN" w:bidi="ar-SA"/>
              </w:rPr>
            </w:pPr>
            <w:r>
              <w:rPr>
                <w:rFonts w:hint="eastAsia"/>
                <w:sz w:val="21"/>
                <w:szCs w:val="21"/>
                <w:highlight w:val="none"/>
                <w:lang w:val="en-US" w:eastAsia="zh-CN"/>
              </w:rPr>
              <w:t xml:space="preserve">                                                 </w:t>
            </w:r>
            <w:r>
              <w:rPr>
                <w:rFonts w:hint="eastAsia" w:ascii="宋体" w:hAnsi="宋体" w:eastAsia="宋体" w:cs="宋体"/>
                <w:i w:val="0"/>
                <w:iCs w:val="0"/>
                <w:color w:val="auto"/>
                <w:kern w:val="0"/>
                <w:sz w:val="24"/>
                <w:szCs w:val="24"/>
                <w:u w:val="none"/>
                <w:lang w:val="en-US" w:eastAsia="zh-CN" w:bidi="ar"/>
              </w:rPr>
              <w:t>（盖章）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年    月    日</w:t>
            </w:r>
            <w:r>
              <w:rPr>
                <w:rFonts w:hint="eastAsia"/>
                <w:sz w:val="21"/>
                <w:szCs w:val="21"/>
                <w:highlight w:val="none"/>
                <w:lang w:val="en-US" w:eastAsia="zh-CN"/>
              </w:rPr>
              <w:t xml:space="preserve">       </w:t>
            </w:r>
          </w:p>
        </w:tc>
      </w:tr>
      <w:tr w14:paraId="0E2A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703" w:type="dxa"/>
            <w:noWrap w:val="0"/>
            <w:vAlign w:val="center"/>
          </w:tcPr>
          <w:p w14:paraId="1664B16E">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sz w:val="21"/>
                <w:szCs w:val="21"/>
                <w:highlight w:val="none"/>
                <w:lang w:val="en-US" w:eastAsia="zh-CN"/>
              </w:rPr>
            </w:pPr>
            <w:r>
              <w:rPr>
                <w:rFonts w:hint="eastAsia"/>
                <w:sz w:val="21"/>
                <w:szCs w:val="21"/>
                <w:highlight w:val="none"/>
                <w:lang w:val="en-US" w:eastAsia="zh-CN"/>
              </w:rPr>
              <w:t>牵头单位</w:t>
            </w:r>
          </w:p>
          <w:p w14:paraId="3CD07830">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ascii="Calibri" w:hAnsi="Calibri" w:eastAsia="宋体" w:cs="Times New Roman"/>
                <w:color w:val="auto"/>
                <w:kern w:val="2"/>
                <w:sz w:val="21"/>
                <w:szCs w:val="21"/>
                <w:highlight w:val="none"/>
                <w:lang w:val="en-US" w:eastAsia="zh-CN" w:bidi="ar-SA"/>
              </w:rPr>
            </w:pPr>
            <w:r>
              <w:rPr>
                <w:rFonts w:hint="eastAsia"/>
                <w:sz w:val="21"/>
                <w:szCs w:val="21"/>
                <w:highlight w:val="none"/>
                <w:lang w:eastAsia="zh-CN"/>
              </w:rPr>
              <w:t>审核意见</w:t>
            </w:r>
          </w:p>
        </w:tc>
        <w:tc>
          <w:tcPr>
            <w:tcW w:w="7786" w:type="dxa"/>
            <w:gridSpan w:val="6"/>
            <w:noWrap w:val="0"/>
            <w:vAlign w:val="bottom"/>
          </w:tcPr>
          <w:p w14:paraId="726EBB3C">
            <w:pPr>
              <w:keepNext w:val="0"/>
              <w:keepLines w:val="0"/>
              <w:pageBreakBefore w:val="0"/>
              <w:widowControl w:val="0"/>
              <w:kinsoku/>
              <w:wordWrap/>
              <w:overflowPunct/>
              <w:topLinePunct w:val="0"/>
              <w:autoSpaceDE/>
              <w:autoSpaceDN/>
              <w:bidi w:val="0"/>
              <w:adjustRightInd/>
              <w:snapToGrid/>
              <w:spacing w:line="576" w:lineRule="exact"/>
              <w:jc w:val="both"/>
              <w:outlineLvl w:val="9"/>
              <w:rPr>
                <w:rFonts w:hint="eastAsia" w:ascii="Calibri" w:hAnsi="Calibri" w:eastAsia="宋体" w:cs="Times New Roman"/>
                <w:color w:val="auto"/>
                <w:kern w:val="2"/>
                <w:sz w:val="21"/>
                <w:szCs w:val="21"/>
                <w:highlight w:val="none"/>
                <w:lang w:val="en-US" w:eastAsia="zh-CN" w:bidi="ar-SA"/>
              </w:rPr>
            </w:pPr>
            <w:r>
              <w:rPr>
                <w:rFonts w:hint="eastAsia"/>
                <w:sz w:val="21"/>
                <w:szCs w:val="21"/>
                <w:highlight w:val="none"/>
                <w:lang w:val="en-US" w:eastAsia="zh-CN"/>
              </w:rPr>
              <w:t xml:space="preserve">                                                </w:t>
            </w:r>
            <w:r>
              <w:rPr>
                <w:rFonts w:hint="eastAsia" w:ascii="宋体" w:hAnsi="宋体" w:eastAsia="宋体" w:cs="宋体"/>
                <w:i w:val="0"/>
                <w:iCs w:val="0"/>
                <w:color w:val="auto"/>
                <w:kern w:val="0"/>
                <w:sz w:val="24"/>
                <w:szCs w:val="24"/>
                <w:u w:val="none"/>
                <w:lang w:val="en-US" w:eastAsia="zh-CN" w:bidi="ar"/>
              </w:rPr>
              <w:t>（盖章）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年    月    日</w:t>
            </w:r>
          </w:p>
        </w:tc>
      </w:tr>
    </w:tbl>
    <w:p w14:paraId="6DA93EA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备注:  1.提供相关申请资料与佐证材料。</w:t>
      </w:r>
    </w:p>
    <w:p w14:paraId="7C91A912">
      <w:pPr>
        <w:keepNext w:val="0"/>
        <w:keepLines w:val="0"/>
        <w:pageBreakBefore w:val="0"/>
        <w:widowControl w:val="0"/>
        <w:kinsoku/>
        <w:wordWrap/>
        <w:overflowPunct/>
        <w:topLinePunct w:val="0"/>
        <w:autoSpaceDE/>
        <w:autoSpaceDN/>
        <w:bidi w:val="0"/>
        <w:adjustRightInd/>
        <w:snapToGrid/>
        <w:spacing w:line="240" w:lineRule="atLeast"/>
        <w:ind w:firstLine="630" w:firstLineChars="300"/>
        <w:jc w:val="both"/>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eastAsia="宋体" w:cs="Times New Roman"/>
          <w:sz w:val="21"/>
          <w:szCs w:val="21"/>
          <w:highlight w:val="none"/>
          <w:lang w:val="en-US" w:eastAsia="zh-CN"/>
        </w:rPr>
        <w:t>2.此表一式叁份，镇（街）、牵头单位与林业局各壹份。</w:t>
      </w:r>
    </w:p>
    <w:p w14:paraId="061DB896">
      <w:pPr>
        <w:keepNext w:val="0"/>
        <w:keepLines w:val="0"/>
        <w:pageBreakBefore w:val="0"/>
        <w:widowControl w:val="0"/>
        <w:kinsoku/>
        <w:wordWrap/>
        <w:overflowPunct/>
        <w:topLinePunct w:val="0"/>
        <w:autoSpaceDE/>
        <w:autoSpaceDN/>
        <w:bidi w:val="0"/>
        <w:adjustRightInd/>
        <w:snapToGrid/>
        <w:spacing w:line="576" w:lineRule="exact"/>
        <w:jc w:val="left"/>
        <w:outlineLvl w:val="9"/>
        <w:rPr>
          <w:rFonts w:hint="eastAsia" w:eastAsia="宋体" w:cs="Times New Roman"/>
          <w:sz w:val="21"/>
          <w:szCs w:val="21"/>
          <w:highlight w:val="none"/>
          <w:lang w:val="en-US" w:eastAsia="zh-CN"/>
        </w:rPr>
      </w:pPr>
    </w:p>
    <w:p w14:paraId="27BF65FC">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eastAsia="宋体" w:cs="Times New Roman"/>
          <w:sz w:val="21"/>
          <w:szCs w:val="21"/>
          <w:highlight w:val="none"/>
          <w:lang w:val="en-US" w:eastAsia="zh-CN"/>
        </w:rPr>
      </w:pPr>
    </w:p>
    <w:p w14:paraId="6B7C18B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附件2      </w:t>
      </w:r>
    </w:p>
    <w:p w14:paraId="50E38A9D">
      <w:pPr>
        <w:keepNext w:val="0"/>
        <w:keepLines w:val="0"/>
        <w:pageBreakBefore w:val="0"/>
        <w:widowControl w:val="0"/>
        <w:kinsoku/>
        <w:wordWrap/>
        <w:overflowPunct/>
        <w:topLinePunct w:val="0"/>
        <w:autoSpaceDE/>
        <w:autoSpaceDN/>
        <w:bidi w:val="0"/>
        <w:adjustRightInd/>
        <w:snapToGrid/>
        <w:spacing w:line="540" w:lineRule="exact"/>
        <w:ind w:firstLine="1205" w:firstLineChars="300"/>
        <w:jc w:val="left"/>
        <w:textAlignment w:val="auto"/>
        <w:rPr>
          <w:rFonts w:hint="eastAsia" w:ascii="宋体" w:hAnsi="宋体" w:eastAsia="宋体" w:cs="宋体"/>
          <w:b/>
          <w:bCs/>
          <w:i w:val="0"/>
          <w:iCs w:val="0"/>
          <w:color w:val="auto"/>
          <w:kern w:val="0"/>
          <w:sz w:val="40"/>
          <w:szCs w:val="40"/>
          <w:u w:val="none"/>
          <w:lang w:val="en-US" w:eastAsia="zh-CN" w:bidi="ar"/>
        </w:rPr>
      </w:pPr>
      <w:r>
        <w:rPr>
          <w:rFonts w:hint="eastAsia" w:ascii="宋体" w:hAnsi="宋体" w:eastAsia="宋体" w:cs="宋体"/>
          <w:b/>
          <w:bCs/>
          <w:i w:val="0"/>
          <w:iCs w:val="0"/>
          <w:color w:val="auto"/>
          <w:kern w:val="0"/>
          <w:sz w:val="40"/>
          <w:szCs w:val="40"/>
          <w:u w:val="none"/>
          <w:lang w:val="en-US" w:eastAsia="zh-CN" w:bidi="ar"/>
        </w:rPr>
        <w:t>新丰县竹产业发展奖补项目验收表</w:t>
      </w:r>
    </w:p>
    <w:p w14:paraId="0AA546C1">
      <w:pPr>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tbl>
      <w:tblPr>
        <w:tblStyle w:val="7"/>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303"/>
        <w:gridCol w:w="1482"/>
        <w:gridCol w:w="3158"/>
      </w:tblGrid>
      <w:tr w14:paraId="6284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95" w:type="dxa"/>
            <w:noWrap w:val="0"/>
            <w:vAlign w:val="center"/>
          </w:tcPr>
          <w:p w14:paraId="074F6231">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申报主体</w:t>
            </w:r>
          </w:p>
        </w:tc>
        <w:tc>
          <w:tcPr>
            <w:tcW w:w="2303" w:type="dxa"/>
            <w:noWrap w:val="0"/>
            <w:vAlign w:val="center"/>
          </w:tcPr>
          <w:p w14:paraId="2DDB592C">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eastAsia="宋体" w:cs="Times New Roman"/>
                <w:sz w:val="21"/>
                <w:szCs w:val="21"/>
                <w:highlight w:val="none"/>
                <w:lang w:val="en-US" w:eastAsia="zh-CN"/>
              </w:rPr>
            </w:pPr>
          </w:p>
        </w:tc>
        <w:tc>
          <w:tcPr>
            <w:tcW w:w="1482" w:type="dxa"/>
            <w:noWrap w:val="0"/>
            <w:vAlign w:val="center"/>
          </w:tcPr>
          <w:p w14:paraId="3EA0BDBA">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申报奖补类型</w:t>
            </w:r>
          </w:p>
        </w:tc>
        <w:tc>
          <w:tcPr>
            <w:tcW w:w="3158" w:type="dxa"/>
            <w:noWrap w:val="0"/>
            <w:vAlign w:val="top"/>
          </w:tcPr>
          <w:p w14:paraId="4339CEDA">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p>
          <w:p w14:paraId="7057E1C7">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eastAsia="宋体" w:cs="Times New Roman"/>
                <w:sz w:val="21"/>
                <w:szCs w:val="21"/>
                <w:highlight w:val="none"/>
                <w:lang w:val="en-US" w:eastAsia="zh-CN"/>
              </w:rPr>
            </w:pPr>
          </w:p>
        </w:tc>
      </w:tr>
      <w:tr w14:paraId="0A64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1995" w:type="dxa"/>
            <w:noWrap w:val="0"/>
            <w:vAlign w:val="center"/>
          </w:tcPr>
          <w:p w14:paraId="3C20FC22">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项目建设情况</w:t>
            </w:r>
          </w:p>
        </w:tc>
        <w:tc>
          <w:tcPr>
            <w:tcW w:w="6943" w:type="dxa"/>
            <w:gridSpan w:val="3"/>
            <w:noWrap w:val="0"/>
            <w:vAlign w:val="top"/>
          </w:tcPr>
          <w:p w14:paraId="3F6DFEF3">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p>
        </w:tc>
      </w:tr>
      <w:tr w14:paraId="4914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1995" w:type="dxa"/>
            <w:noWrap w:val="0"/>
            <w:vAlign w:val="center"/>
          </w:tcPr>
          <w:p w14:paraId="30F2B8A0">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CN"/>
              </w:rPr>
              <w:t>现场验收人员</w:t>
            </w:r>
          </w:p>
          <w:p w14:paraId="00A1944E">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意见</w:t>
            </w:r>
          </w:p>
        </w:tc>
        <w:tc>
          <w:tcPr>
            <w:tcW w:w="6943" w:type="dxa"/>
            <w:gridSpan w:val="3"/>
            <w:noWrap w:val="0"/>
            <w:vAlign w:val="top"/>
          </w:tcPr>
          <w:p w14:paraId="0CE3FE76">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CN"/>
              </w:rPr>
              <w:t xml:space="preserve"> </w:t>
            </w:r>
          </w:p>
          <w:p w14:paraId="0D99EFCE">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p>
          <w:p w14:paraId="6644D2E7">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p>
          <w:p w14:paraId="52D03E54">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p>
          <w:p w14:paraId="260BAFEE">
            <w:pPr>
              <w:keepNext w:val="0"/>
              <w:keepLines w:val="0"/>
              <w:pageBreakBefore w:val="0"/>
              <w:widowControl w:val="0"/>
              <w:kinsoku/>
              <w:wordWrap/>
              <w:overflowPunct/>
              <w:topLinePunct w:val="0"/>
              <w:autoSpaceDE/>
              <w:autoSpaceDN/>
              <w:bidi w:val="0"/>
              <w:adjustRightInd/>
              <w:snapToGrid/>
              <w:spacing w:line="576" w:lineRule="exact"/>
              <w:jc w:val="both"/>
              <w:outlineLvl w:val="9"/>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CN"/>
              </w:rPr>
              <w:t>签名：</w:t>
            </w:r>
          </w:p>
          <w:p w14:paraId="6575006B">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 xml:space="preserve">                             日期：</w:t>
            </w:r>
          </w:p>
        </w:tc>
      </w:tr>
      <w:tr w14:paraId="61E9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995" w:type="dxa"/>
            <w:noWrap w:val="0"/>
            <w:vAlign w:val="center"/>
          </w:tcPr>
          <w:p w14:paraId="5FB7397D">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CN"/>
              </w:rPr>
              <w:t>镇（街）</w:t>
            </w:r>
          </w:p>
          <w:p w14:paraId="787CEF46">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审核意见</w:t>
            </w:r>
          </w:p>
        </w:tc>
        <w:tc>
          <w:tcPr>
            <w:tcW w:w="6943" w:type="dxa"/>
            <w:gridSpan w:val="3"/>
            <w:noWrap w:val="0"/>
            <w:vAlign w:val="top"/>
          </w:tcPr>
          <w:p w14:paraId="52E96937">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p>
          <w:p w14:paraId="6320EA5A">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p>
          <w:p w14:paraId="6A0AACCA">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 xml:space="preserve">   </w:t>
            </w:r>
          </w:p>
          <w:p w14:paraId="2FB97B5F">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 xml:space="preserve">领导签名：（盖章）          日期：       </w:t>
            </w:r>
          </w:p>
        </w:tc>
      </w:tr>
      <w:tr w14:paraId="2720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1995" w:type="dxa"/>
            <w:noWrap w:val="0"/>
            <w:vAlign w:val="center"/>
          </w:tcPr>
          <w:p w14:paraId="3FFB71EB">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CN"/>
              </w:rPr>
              <w:t>牵头单位</w:t>
            </w:r>
          </w:p>
          <w:p w14:paraId="7452170D">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CN"/>
              </w:rPr>
              <w:t>审核意见</w:t>
            </w:r>
          </w:p>
        </w:tc>
        <w:tc>
          <w:tcPr>
            <w:tcW w:w="6943" w:type="dxa"/>
            <w:gridSpan w:val="3"/>
            <w:noWrap w:val="0"/>
            <w:vAlign w:val="top"/>
          </w:tcPr>
          <w:p w14:paraId="6C8C5F0D">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p>
          <w:p w14:paraId="337B1D18">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p>
          <w:p w14:paraId="1DE84291">
            <w:pPr>
              <w:keepNext w:val="0"/>
              <w:keepLines w:val="0"/>
              <w:pageBreakBefore w:val="0"/>
              <w:widowControl w:val="0"/>
              <w:kinsoku/>
              <w:wordWrap/>
              <w:overflowPunct/>
              <w:topLinePunct w:val="0"/>
              <w:autoSpaceDE/>
              <w:autoSpaceDN/>
              <w:bidi w:val="0"/>
              <w:adjustRightInd/>
              <w:snapToGrid/>
              <w:spacing w:line="576" w:lineRule="exact"/>
              <w:jc w:val="center"/>
              <w:outlineLvl w:val="9"/>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CN"/>
              </w:rPr>
              <w:t>领导签名：（盖章）          日期：</w:t>
            </w:r>
          </w:p>
        </w:tc>
      </w:tr>
    </w:tbl>
    <w:p w14:paraId="3B3E7A9F">
      <w:pPr>
        <w:keepNext w:val="0"/>
        <w:keepLines w:val="0"/>
        <w:pageBreakBefore w:val="0"/>
        <w:widowControl w:val="0"/>
        <w:kinsoku/>
        <w:wordWrap/>
        <w:overflowPunct/>
        <w:topLinePunct w:val="0"/>
        <w:autoSpaceDE/>
        <w:autoSpaceDN/>
        <w:bidi w:val="0"/>
        <w:adjustRightInd/>
        <w:snapToGrid/>
        <w:spacing w:line="576" w:lineRule="exact"/>
        <w:jc w:val="left"/>
        <w:outlineLvl w:val="9"/>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注：验收单后要附上至少3张验收现场照片及验收相关资料。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22ED09-FB1C-4E73-B07A-84780A55CA56}"/>
  </w:font>
  <w:font w:name="黑体">
    <w:panose1 w:val="02010609060101010101"/>
    <w:charset w:val="86"/>
    <w:family w:val="auto"/>
    <w:pitch w:val="default"/>
    <w:sig w:usb0="800002BF" w:usb1="38CF7CFA" w:usb2="00000016" w:usb3="00000000" w:csb0="00040001" w:csb1="00000000"/>
    <w:embedRegular r:id="rId2" w:fontKey="{F5E527A8-D3EC-4F67-9837-3266BF8586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5BD0C61-263B-4C43-BAD6-0EDB945D5A31}"/>
  </w:font>
  <w:font w:name="仿宋_GB2312">
    <w:panose1 w:val="02010609030101010101"/>
    <w:charset w:val="86"/>
    <w:family w:val="modern"/>
    <w:pitch w:val="default"/>
    <w:sig w:usb0="00000001" w:usb1="080E0000" w:usb2="00000000" w:usb3="00000000" w:csb0="00040000" w:csb1="00000000"/>
    <w:embedRegular r:id="rId4" w:fontKey="{283ABFA6-2B48-465E-A2E4-ADDE08943913}"/>
  </w:font>
  <w:font w:name="仿宋">
    <w:panose1 w:val="02010609060101010101"/>
    <w:charset w:val="86"/>
    <w:family w:val="auto"/>
    <w:pitch w:val="default"/>
    <w:sig w:usb0="800002BF" w:usb1="38CF7CFA" w:usb2="00000016" w:usb3="00000000" w:csb0="00040001" w:csb1="00000000"/>
    <w:embedRegular r:id="rId5" w:fontKey="{66019D43-A285-45F3-8B4A-DCFF2E66B2D6}"/>
  </w:font>
  <w:font w:name="方正小标宋简体">
    <w:panose1 w:val="03000509000000000000"/>
    <w:charset w:val="86"/>
    <w:family w:val="auto"/>
    <w:pitch w:val="default"/>
    <w:sig w:usb0="00000001" w:usb1="080E0000" w:usb2="00000000" w:usb3="00000000" w:csb0="00040000" w:csb1="00000000"/>
    <w:embedRegular r:id="rId6" w:fontKey="{565C55A6-D041-476A-92EF-54C6C0202C90}"/>
  </w:font>
  <w:font w:name="楷体_GB2312">
    <w:panose1 w:val="02010609030101010101"/>
    <w:charset w:val="86"/>
    <w:family w:val="auto"/>
    <w:pitch w:val="default"/>
    <w:sig w:usb0="00000001" w:usb1="080E0000" w:usb2="00000000" w:usb3="00000000" w:csb0="00040000" w:csb1="00000000"/>
    <w:embedRegular r:id="rId7" w:fontKey="{EBF4E0CA-3783-485D-82FD-83F06B17DDD5}"/>
  </w:font>
  <w:font w:name="楷体">
    <w:panose1 w:val="02010609060101010101"/>
    <w:charset w:val="86"/>
    <w:family w:val="auto"/>
    <w:pitch w:val="default"/>
    <w:sig w:usb0="800002BF" w:usb1="38CF7CFA" w:usb2="00000016" w:usb3="00000000" w:csb0="00040001" w:csb1="00000000"/>
    <w:embedRegular r:id="rId8" w:fontKey="{57758E81-7118-4AE4-855F-6F477545A5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0A66">
    <w:pPr>
      <w:kinsoku/>
      <w:overflowPunct/>
      <w:autoSpaceDE w:val="0"/>
      <w:autoSpaceDN/>
      <w:adjustRightInd w:val="0"/>
      <w:snapToGrid w:val="0"/>
      <w:spacing w:line="175" w:lineRule="auto"/>
      <w:ind w:left="12254" w:firstLine="560" w:firstLineChars="200"/>
      <w:textAlignment w:val="baseline"/>
      <w:rPr>
        <w:rFonts w:ascii="仿宋" w:hAnsi="仿宋" w:eastAsia="仿宋" w:cs="仿宋"/>
        <w:snapToGrid w:val="0"/>
        <w:color w:val="000000"/>
        <w:kern w:val="0"/>
        <w:sz w:val="28"/>
        <w:szCs w:val="28"/>
        <w:lang w:eastAsia="en-US"/>
      </w:rPr>
    </w:pPr>
    <w:r>
      <w:rPr>
        <w:rFonts w:ascii="Arial" w:hAnsi="Arial" w:eastAsia="仿宋_GB2312" w:cs="Arial"/>
        <w:snapToGrid w:val="0"/>
        <w:color w:val="000000"/>
        <w:kern w:val="0"/>
        <w:sz w:val="28"/>
        <w:szCs w:val="21"/>
        <w:lang w:eastAsia="en-US"/>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86E1EF">
                          <w:pPr>
                            <w:pStyle w:val="3"/>
                          </w:pPr>
                          <w:r>
                            <w:t>—</w:t>
                          </w:r>
                          <w:r>
                            <w:fldChar w:fldCharType="begin"/>
                          </w:r>
                          <w:r>
                            <w:instrText xml:space="preserve"> PAGE  \* MERGEFORMAT </w:instrText>
                          </w:r>
                          <w:r>
                            <w:fldChar w:fldCharType="separate"/>
                          </w:r>
                          <w:r>
                            <w:t>30</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B86E1EF">
                    <w:pPr>
                      <w:pStyle w:val="3"/>
                    </w:pPr>
                    <w:r>
                      <w:t>—</w:t>
                    </w:r>
                    <w:r>
                      <w:fldChar w:fldCharType="begin"/>
                    </w:r>
                    <w:r>
                      <w:instrText xml:space="preserve"> PAGE  \* MERGEFORMAT </w:instrText>
                    </w:r>
                    <w:r>
                      <w:fldChar w:fldCharType="separate"/>
                    </w:r>
                    <w:r>
                      <w:t>30</w:t>
                    </w:r>
                    <w:r>
                      <w:fldChar w:fldCharType="end"/>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C3C4">
    <w:pPr>
      <w:pStyle w:val="4"/>
      <w:ind w:left="0" w:leftChars="0" w:firstLine="0" w:firstLineChars="0"/>
      <w:rPr>
        <w:rFonts w:hint="eastAsia" w:eastAsia="仿宋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ECDC5"/>
    <w:multiLevelType w:val="singleLevel"/>
    <w:tmpl w:val="588ECDC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OTcyYWIxODBiNDdmOWFlNzBhMGEwNmQ4MDU5ZDIifQ=="/>
  </w:docVars>
  <w:rsids>
    <w:rsidRoot w:val="00000000"/>
    <w:rsid w:val="01C6768C"/>
    <w:rsid w:val="01DE3EB0"/>
    <w:rsid w:val="02675902"/>
    <w:rsid w:val="0305345B"/>
    <w:rsid w:val="03A5770C"/>
    <w:rsid w:val="0401519F"/>
    <w:rsid w:val="04E81A8C"/>
    <w:rsid w:val="06474975"/>
    <w:rsid w:val="06EB0BBA"/>
    <w:rsid w:val="077639A5"/>
    <w:rsid w:val="0A93344E"/>
    <w:rsid w:val="0A974125"/>
    <w:rsid w:val="0AF177B8"/>
    <w:rsid w:val="0B7F0426"/>
    <w:rsid w:val="0B8A6DD7"/>
    <w:rsid w:val="0BA1299D"/>
    <w:rsid w:val="0C402975"/>
    <w:rsid w:val="0E9B51D3"/>
    <w:rsid w:val="0FE11F33"/>
    <w:rsid w:val="10D2164E"/>
    <w:rsid w:val="12046915"/>
    <w:rsid w:val="12381CF7"/>
    <w:rsid w:val="12F32972"/>
    <w:rsid w:val="13393AF5"/>
    <w:rsid w:val="161D4909"/>
    <w:rsid w:val="176B0EC0"/>
    <w:rsid w:val="17AB0C42"/>
    <w:rsid w:val="196915E6"/>
    <w:rsid w:val="1A6505C8"/>
    <w:rsid w:val="1B363399"/>
    <w:rsid w:val="1C4C57FF"/>
    <w:rsid w:val="1C5F4FED"/>
    <w:rsid w:val="1D087FDD"/>
    <w:rsid w:val="1E162AC7"/>
    <w:rsid w:val="1E4D5F33"/>
    <w:rsid w:val="1F3714BA"/>
    <w:rsid w:val="1F504324"/>
    <w:rsid w:val="1FF409F1"/>
    <w:rsid w:val="207B22FE"/>
    <w:rsid w:val="21637056"/>
    <w:rsid w:val="23136004"/>
    <w:rsid w:val="2366242A"/>
    <w:rsid w:val="24491D64"/>
    <w:rsid w:val="24B9070D"/>
    <w:rsid w:val="25107926"/>
    <w:rsid w:val="264E2820"/>
    <w:rsid w:val="266E4FE5"/>
    <w:rsid w:val="2ABD65E9"/>
    <w:rsid w:val="2ACC5029"/>
    <w:rsid w:val="2B245C51"/>
    <w:rsid w:val="2B99012E"/>
    <w:rsid w:val="2CA6579F"/>
    <w:rsid w:val="2D5F0FBE"/>
    <w:rsid w:val="2DE77D8B"/>
    <w:rsid w:val="2FC00586"/>
    <w:rsid w:val="31866751"/>
    <w:rsid w:val="31D32275"/>
    <w:rsid w:val="32321269"/>
    <w:rsid w:val="3264552D"/>
    <w:rsid w:val="337201F6"/>
    <w:rsid w:val="350070F6"/>
    <w:rsid w:val="35F36A42"/>
    <w:rsid w:val="36596A25"/>
    <w:rsid w:val="36E52289"/>
    <w:rsid w:val="3CF92F8F"/>
    <w:rsid w:val="3D913FCE"/>
    <w:rsid w:val="3DB919C4"/>
    <w:rsid w:val="3E075CF4"/>
    <w:rsid w:val="3EAF7CAE"/>
    <w:rsid w:val="3F204D50"/>
    <w:rsid w:val="40632087"/>
    <w:rsid w:val="42801762"/>
    <w:rsid w:val="42A7231D"/>
    <w:rsid w:val="42BA1E87"/>
    <w:rsid w:val="430C281F"/>
    <w:rsid w:val="4381143A"/>
    <w:rsid w:val="43BF3710"/>
    <w:rsid w:val="45267CAE"/>
    <w:rsid w:val="45AC1293"/>
    <w:rsid w:val="45AE66AD"/>
    <w:rsid w:val="46C619C5"/>
    <w:rsid w:val="46CB770F"/>
    <w:rsid w:val="47406F20"/>
    <w:rsid w:val="47D15DA7"/>
    <w:rsid w:val="4A450AAE"/>
    <w:rsid w:val="4ADA1A4D"/>
    <w:rsid w:val="4BED48BD"/>
    <w:rsid w:val="4CAB55F8"/>
    <w:rsid w:val="4DA457ED"/>
    <w:rsid w:val="4DF80F54"/>
    <w:rsid w:val="500F0D93"/>
    <w:rsid w:val="50195CF6"/>
    <w:rsid w:val="50D33A34"/>
    <w:rsid w:val="50F24A9A"/>
    <w:rsid w:val="519876D0"/>
    <w:rsid w:val="51F01E47"/>
    <w:rsid w:val="52D730EF"/>
    <w:rsid w:val="53183C0B"/>
    <w:rsid w:val="53801E13"/>
    <w:rsid w:val="554C4739"/>
    <w:rsid w:val="56D705C8"/>
    <w:rsid w:val="572C0492"/>
    <w:rsid w:val="57705341"/>
    <w:rsid w:val="57D604C9"/>
    <w:rsid w:val="5816444E"/>
    <w:rsid w:val="581D5054"/>
    <w:rsid w:val="5D0905C7"/>
    <w:rsid w:val="5D1F5529"/>
    <w:rsid w:val="5D254795"/>
    <w:rsid w:val="5D981F8A"/>
    <w:rsid w:val="5DA4011C"/>
    <w:rsid w:val="5F10651F"/>
    <w:rsid w:val="60BB7793"/>
    <w:rsid w:val="60BC0650"/>
    <w:rsid w:val="653B34A1"/>
    <w:rsid w:val="65485D47"/>
    <w:rsid w:val="65FC027E"/>
    <w:rsid w:val="679F762C"/>
    <w:rsid w:val="6C0B484D"/>
    <w:rsid w:val="6C321EFD"/>
    <w:rsid w:val="6DE76703"/>
    <w:rsid w:val="6E586C17"/>
    <w:rsid w:val="6F817C14"/>
    <w:rsid w:val="6FB62484"/>
    <w:rsid w:val="718D07AE"/>
    <w:rsid w:val="7229553C"/>
    <w:rsid w:val="733D57DD"/>
    <w:rsid w:val="74226152"/>
    <w:rsid w:val="765C178A"/>
    <w:rsid w:val="78047E96"/>
    <w:rsid w:val="788F330C"/>
    <w:rsid w:val="7A301431"/>
    <w:rsid w:val="7AF64768"/>
    <w:rsid w:val="7BCF5CAF"/>
    <w:rsid w:val="7C0B0152"/>
    <w:rsid w:val="7CA37DEC"/>
    <w:rsid w:val="7DE7537D"/>
    <w:rsid w:val="7E331C8A"/>
    <w:rsid w:val="7E7A1364"/>
    <w:rsid w:val="7ED07EFA"/>
    <w:rsid w:val="7FBC6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8"/>
      <w:szCs w:val="58"/>
      <w:lang w:val="en-US" w:eastAsia="en-US" w:bidi="ar-SA"/>
    </w:rPr>
  </w:style>
  <w:style w:type="paragraph" w:styleId="3">
    <w:name w:val="footer"/>
    <w:basedOn w:val="1"/>
    <w:qFormat/>
    <w:uiPriority w:val="0"/>
    <w:pPr>
      <w:widowControl w:val="0"/>
      <w:tabs>
        <w:tab w:val="center" w:pos="4153"/>
        <w:tab w:val="right" w:pos="8306"/>
      </w:tabs>
      <w:kinsoku/>
      <w:overflowPunct/>
      <w:autoSpaceDE w:val="0"/>
      <w:autoSpaceDN/>
      <w:adjustRightInd w:val="0"/>
      <w:snapToGrid w:val="0"/>
      <w:spacing w:line="560" w:lineRule="exact"/>
      <w:ind w:firstLine="420" w:firstLineChars="200"/>
      <w:jc w:val="left"/>
      <w:textAlignment w:val="baseline"/>
    </w:pPr>
    <w:rPr>
      <w:rFonts w:ascii="Arial" w:hAnsi="Arial" w:eastAsia="仿宋_GB2312" w:cs="Arial"/>
      <w:snapToGrid w:val="0"/>
      <w:color w:val="000000"/>
      <w:kern w:val="0"/>
      <w:sz w:val="18"/>
      <w:szCs w:val="21"/>
      <w:lang w:val="en-US" w:eastAsia="en-US"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kinsoku/>
      <w:overflowPunct/>
      <w:autoSpaceDE w:val="0"/>
      <w:autoSpaceDN/>
      <w:adjustRightInd w:val="0"/>
      <w:snapToGrid w:val="0"/>
      <w:spacing w:line="240" w:lineRule="auto"/>
      <w:ind w:firstLine="420" w:firstLineChars="200"/>
      <w:jc w:val="both"/>
      <w:textAlignment w:val="baseline"/>
      <w:outlineLvl w:val="9"/>
    </w:pPr>
    <w:rPr>
      <w:rFonts w:ascii="Arial" w:hAnsi="Arial" w:eastAsia="仿宋_GB2312" w:cs="Arial"/>
      <w:snapToGrid w:val="0"/>
      <w:color w:val="000000"/>
      <w:kern w:val="0"/>
      <w:sz w:val="18"/>
      <w:szCs w:val="21"/>
      <w:lang w:val="en-US" w:eastAsia="en-US" w:bidi="ar-SA"/>
    </w:rPr>
  </w:style>
  <w:style w:type="paragraph" w:styleId="5">
    <w:name w:val="toc 2"/>
    <w:basedOn w:val="1"/>
    <w:next w:val="1"/>
    <w:qFormat/>
    <w:uiPriority w:val="0"/>
    <w:pPr>
      <w:ind w:left="200" w:leftChars="200"/>
    </w:pPr>
    <w:rPr>
      <w:rFonts w:hint="eastAsia"/>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3381</Words>
  <Characters>3433</Characters>
  <Lines>0</Lines>
  <Paragraphs>0</Paragraphs>
  <TotalTime>20</TotalTime>
  <ScaleCrop>false</ScaleCrop>
  <LinksUpToDate>false</LinksUpToDate>
  <CharactersWithSpaces>3830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2023-10-08T00:39:00Z</dcterms:created>
  <dc:creator>Administrator</dc:creator>
  <cp:lastModifiedBy>慧</cp:lastModifiedBy>
  <cp:lastPrinted>2025-03-03T08:06:00Z</cp:lastPrinted>
  <dcterms:modified xsi:type="dcterms:W3CDTF">2025-03-18T08:39:13Z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3C652C63FC044E37985B7D4070CB060B_13</vt:lpwstr>
  </property>
  <property fmtid="{D5CDD505-2E9C-101B-9397-08002B2CF9AE}" pid="4" name="KSOTemplateDocerSaveRecord">
    <vt:lpwstr>eyJoZGlkIjoiNDI2MGZiY2QzNmMyYTJiNWEyOWRlNzgwZGEzYzhiNDYiLCJ1c2VySWQiOiIyMzM5MDc0MTkifQ==</vt:lpwstr>
  </property>
</Properties>
</file>