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r>
        <w:rPr>
          <w:rFonts w:hint="eastAsia"/>
          <w:highlight w:val="none"/>
        </w:rPr>
        <w:t xml:space="preserve">                                                                                                                                                                                                                                                                                                                                                                                                                                                                                                                                                                                                                                                                                                                                                                                                                                                                                                                                                </w:t>
      </w:r>
    </w:p>
    <w:p>
      <w:pPr>
        <w:rPr>
          <w:highlight w:val="none"/>
        </w:rPr>
      </w:pPr>
    </w:p>
    <w:p>
      <w:pPr>
        <w:rPr>
          <w:highlight w:val="none"/>
        </w:rPr>
      </w:pPr>
    </w:p>
    <w:p>
      <w:pPr>
        <w:rPr>
          <w:highlight w:val="none"/>
        </w:rPr>
      </w:pPr>
    </w:p>
    <w:p>
      <w:pPr>
        <w:ind w:firstLine="0" w:firstLineChars="0"/>
        <w:jc w:val="center"/>
        <w:rPr>
          <w:rFonts w:ascii="黑体" w:hAnsi="黑体" w:eastAsia="黑体" w:cs="黑体"/>
          <w:sz w:val="52"/>
          <w:szCs w:val="52"/>
          <w:highlight w:val="none"/>
        </w:rPr>
      </w:pPr>
      <w:bookmarkStart w:id="0" w:name="_Toc19539"/>
      <w:bookmarkStart w:id="1" w:name="_Toc19618"/>
      <w:bookmarkStart w:id="2" w:name="_Toc9306"/>
      <w:bookmarkStart w:id="3" w:name="_Toc10206"/>
      <w:bookmarkStart w:id="4" w:name="_Toc16760"/>
      <w:bookmarkStart w:id="5" w:name="_Toc12913"/>
      <w:bookmarkStart w:id="6" w:name="_Toc7960"/>
      <w:bookmarkStart w:id="7" w:name="_Toc2485"/>
      <w:bookmarkStart w:id="8" w:name="_Toc28400"/>
      <w:bookmarkStart w:id="9" w:name="_Toc17930"/>
      <w:bookmarkStart w:id="10" w:name="_Toc8672"/>
      <w:bookmarkStart w:id="11" w:name="_Toc1671"/>
      <w:bookmarkStart w:id="12" w:name="_Toc13367"/>
      <w:bookmarkStart w:id="13" w:name="_Toc167122700"/>
      <w:bookmarkStart w:id="14" w:name="_Toc28656"/>
      <w:bookmarkStart w:id="15" w:name="_Toc12760"/>
      <w:bookmarkStart w:id="16" w:name="_Toc31917"/>
      <w:bookmarkStart w:id="17" w:name="_Toc29687"/>
      <w:bookmarkStart w:id="18" w:name="_Toc15041"/>
      <w:bookmarkStart w:id="19" w:name="_Toc27964"/>
      <w:bookmarkStart w:id="20" w:name="_Toc167123752"/>
      <w:bookmarkStart w:id="21" w:name="_Toc16103"/>
      <w:r>
        <w:rPr>
          <w:rFonts w:hint="eastAsia" w:ascii="黑体" w:hAnsi="黑体" w:eastAsia="黑体" w:cs="黑体"/>
          <w:sz w:val="52"/>
          <w:szCs w:val="52"/>
          <w:highlight w:val="none"/>
        </w:rPr>
        <w:t>新丰县马头镇国土空间总体规划</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ind w:firstLine="0" w:firstLineChars="0"/>
        <w:jc w:val="center"/>
        <w:rPr>
          <w:rFonts w:eastAsia="黑体" w:cs="Times New Roman"/>
          <w:sz w:val="52"/>
          <w:szCs w:val="52"/>
          <w:highlight w:val="none"/>
        </w:rPr>
      </w:pPr>
      <w:r>
        <w:rPr>
          <w:rFonts w:eastAsia="黑体" w:cs="Times New Roman"/>
          <w:sz w:val="52"/>
          <w:szCs w:val="52"/>
          <w:highlight w:val="none"/>
        </w:rPr>
        <w:t>（2021</w:t>
      </w:r>
      <w:r>
        <w:rPr>
          <w:rFonts w:hint="eastAsia" w:eastAsia="黑体" w:cs="Times New Roman"/>
          <w:sz w:val="52"/>
          <w:szCs w:val="52"/>
          <w:highlight w:val="none"/>
        </w:rPr>
        <w:t>—</w:t>
      </w:r>
      <w:r>
        <w:rPr>
          <w:rFonts w:eastAsia="黑体" w:cs="Times New Roman"/>
          <w:sz w:val="52"/>
          <w:szCs w:val="52"/>
          <w:highlight w:val="none"/>
        </w:rPr>
        <w:t>2035年）</w:t>
      </w:r>
    </w:p>
    <w:p>
      <w:pPr>
        <w:ind w:firstLine="0" w:firstLineChars="0"/>
        <w:jc w:val="center"/>
        <w:rPr>
          <w:rFonts w:ascii="黑体" w:hAnsi="黑体" w:eastAsia="黑体" w:cs="黑体"/>
          <w:sz w:val="52"/>
          <w:szCs w:val="52"/>
          <w:highlight w:val="none"/>
        </w:rPr>
      </w:pPr>
    </w:p>
    <w:p>
      <w:pPr>
        <w:spacing w:line="360" w:lineRule="auto"/>
        <w:ind w:firstLine="0" w:firstLineChars="0"/>
        <w:jc w:val="center"/>
        <w:rPr>
          <w:rFonts w:ascii="黑体" w:hAnsi="黑体" w:eastAsia="黑体" w:cs="黑体"/>
          <w:sz w:val="52"/>
          <w:szCs w:val="52"/>
          <w:highlight w:val="none"/>
        </w:rPr>
      </w:pPr>
    </w:p>
    <w:p>
      <w:pPr>
        <w:ind w:firstLine="0" w:firstLineChars="0"/>
        <w:jc w:val="center"/>
        <w:rPr>
          <w:rFonts w:ascii="黑体" w:hAnsi="黑体" w:eastAsia="黑体" w:cs="黑体"/>
          <w:sz w:val="52"/>
          <w:szCs w:val="52"/>
          <w:highlight w:val="none"/>
        </w:rPr>
      </w:pPr>
      <w:bookmarkStart w:id="22" w:name="_Toc32642"/>
      <w:r>
        <w:rPr>
          <w:rFonts w:hint="eastAsia" w:ascii="黑体" w:hAnsi="黑体" w:eastAsia="黑体" w:cs="黑体"/>
          <w:sz w:val="52"/>
          <w:szCs w:val="52"/>
          <w:highlight w:val="none"/>
        </w:rPr>
        <w:t>文本</w:t>
      </w:r>
      <w:bookmarkEnd w:id="22"/>
    </w:p>
    <w:p>
      <w:pPr>
        <w:rPr>
          <w:rFonts w:ascii="黑体" w:hAnsi="黑体" w:eastAsia="黑体" w:cs="黑体"/>
          <w:highlight w:val="none"/>
        </w:rPr>
      </w:pPr>
    </w:p>
    <w:p>
      <w:pPr>
        <w:rPr>
          <w:highlight w:val="none"/>
        </w:rPr>
      </w:pPr>
    </w:p>
    <w:p>
      <w:pPr>
        <w:rPr>
          <w:highlight w:val="none"/>
        </w:rPr>
      </w:pPr>
    </w:p>
    <w:p>
      <w:pPr>
        <w:ind w:firstLine="0" w:firstLineChars="0"/>
        <w:rPr>
          <w:highlight w:val="none"/>
        </w:rPr>
      </w:pPr>
    </w:p>
    <w:p>
      <w:pPr>
        <w:rPr>
          <w:highlight w:val="none"/>
        </w:rPr>
      </w:pPr>
    </w:p>
    <w:p>
      <w:pPr>
        <w:ind w:firstLine="0" w:firstLineChars="0"/>
        <w:rPr>
          <w:highlight w:val="none"/>
        </w:rPr>
      </w:pPr>
    </w:p>
    <w:p>
      <w:pPr>
        <w:ind w:firstLine="0" w:firstLineChars="0"/>
        <w:jc w:val="center"/>
        <w:rPr>
          <w:rFonts w:ascii="黑体" w:hAnsi="黑体" w:eastAsia="黑体" w:cs="黑体"/>
          <w:sz w:val="32"/>
          <w:szCs w:val="32"/>
          <w:highlight w:val="none"/>
        </w:rPr>
      </w:pPr>
      <w:r>
        <w:rPr>
          <w:rFonts w:hint="eastAsia" w:ascii="黑体" w:hAnsi="黑体" w:eastAsia="黑体" w:cs="黑体"/>
          <w:sz w:val="32"/>
          <w:szCs w:val="32"/>
          <w:highlight w:val="none"/>
        </w:rPr>
        <w:t>马头镇人民政府</w:t>
      </w:r>
    </w:p>
    <w:p>
      <w:pPr>
        <w:ind w:firstLine="0" w:firstLineChars="0"/>
        <w:jc w:val="center"/>
        <w:rPr>
          <w:rFonts w:ascii="黑体" w:hAnsi="黑体" w:eastAsia="黑体" w:cs="黑体"/>
          <w:sz w:val="32"/>
          <w:szCs w:val="32"/>
          <w:highlight w:val="none"/>
        </w:rPr>
      </w:pPr>
      <w:r>
        <w:rPr>
          <w:rFonts w:hint="eastAsia" w:ascii="黑体" w:hAnsi="黑体" w:eastAsia="黑体" w:cs="黑体"/>
          <w:sz w:val="32"/>
          <w:szCs w:val="32"/>
          <w:highlight w:val="none"/>
        </w:rPr>
        <w:t>二〇二四年六月</w:t>
      </w:r>
    </w:p>
    <w:p>
      <w:pPr>
        <w:rPr>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sdt>
      <w:sdtPr>
        <w:rPr>
          <w:rFonts w:hint="eastAsia" w:ascii="黑体" w:hAnsi="黑体" w:eastAsia="黑体" w:cs="黑体"/>
          <w:sz w:val="32"/>
          <w:szCs w:val="32"/>
          <w:highlight w:val="none"/>
        </w:rPr>
        <w:id w:val="147467217"/>
        <w15:color w:val="DBDBDB"/>
        <w:docPartObj>
          <w:docPartGallery w:val="Table of Contents"/>
          <w:docPartUnique/>
        </w:docPartObj>
      </w:sdtPr>
      <w:sdtEndPr>
        <w:rPr>
          <w:rFonts w:hint="eastAsia" w:ascii="Times New Roman" w:hAnsi="Times New Roman" w:eastAsia="仿宋_GB2312" w:cstheme="minorBidi"/>
          <w:sz w:val="30"/>
          <w:szCs w:val="30"/>
          <w:highlight w:val="none"/>
        </w:rPr>
      </w:sdtEndPr>
      <w:sdtContent>
        <w:p>
          <w:pPr>
            <w:ind w:firstLine="0" w:firstLineChars="0"/>
            <w:jc w:val="center"/>
            <w:rPr>
              <w:rFonts w:ascii="黑体" w:hAnsi="黑体" w:eastAsia="黑体" w:cs="黑体"/>
              <w:sz w:val="32"/>
              <w:szCs w:val="32"/>
              <w:highlight w:val="none"/>
            </w:rPr>
          </w:pPr>
          <w:r>
            <w:rPr>
              <w:rFonts w:hint="eastAsia" w:ascii="黑体" w:hAnsi="黑体" w:eastAsia="黑体" w:cs="黑体"/>
              <w:sz w:val="32"/>
              <w:szCs w:val="32"/>
              <w:highlight w:val="none"/>
            </w:rPr>
            <w:t>目录</w:t>
          </w:r>
        </w:p>
        <w:p>
          <w:pPr>
            <w:pStyle w:val="18"/>
            <w:tabs>
              <w:tab w:val="right" w:leader="dot" w:pos="8306"/>
            </w:tabs>
            <w:ind w:firstLine="0" w:firstLineChars="0"/>
            <w:rPr>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TOC \o "1-3" \h \u </w:instrText>
          </w:r>
          <w:r>
            <w:rPr>
              <w:rFonts w:hint="eastAsia" w:ascii="方正仿宋_GB2312" w:hAnsi="方正仿宋_GB2312" w:eastAsia="方正仿宋_GB2312" w:cs="方正仿宋_GB2312"/>
              <w:highlight w:val="none"/>
            </w:rPr>
            <w:fldChar w:fldCharType="separate"/>
          </w:r>
          <w:r>
            <w:rPr>
              <w:highlight w:val="none"/>
            </w:rPr>
            <w:fldChar w:fldCharType="begin"/>
          </w:r>
          <w:r>
            <w:rPr>
              <w:highlight w:val="none"/>
            </w:rPr>
            <w:instrText xml:space="preserve"> HYPERLINK \l "_Toc24081" </w:instrText>
          </w:r>
          <w:r>
            <w:rPr>
              <w:highlight w:val="none"/>
            </w:rPr>
            <w:fldChar w:fldCharType="separate"/>
          </w:r>
          <w:r>
            <w:rPr>
              <w:rFonts w:hint="eastAsia" w:ascii="黑体" w:hAnsi="黑体" w:eastAsia="黑体" w:cs="黑体"/>
              <w:sz w:val="28"/>
              <w:szCs w:val="28"/>
              <w:highlight w:val="none"/>
            </w:rPr>
            <w:t>第一章 总则</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_Toc24081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15"/>
            <w:tabs>
              <w:tab w:val="right" w:leader="dot" w:pos="8306"/>
            </w:tabs>
            <w:ind w:left="1200" w:firstLine="0" w:firstLineChars="0"/>
            <w:rPr>
              <w:sz w:val="21"/>
              <w:szCs w:val="21"/>
              <w:highlight w:val="none"/>
            </w:rPr>
          </w:pPr>
          <w:r>
            <w:rPr>
              <w:highlight w:val="none"/>
            </w:rPr>
            <w:fldChar w:fldCharType="begin"/>
          </w:r>
          <w:r>
            <w:rPr>
              <w:highlight w:val="none"/>
            </w:rPr>
            <w:instrText xml:space="preserve"> HYPERLINK \l "_Toc10376" </w:instrText>
          </w:r>
          <w:r>
            <w:rPr>
              <w:highlight w:val="none"/>
            </w:rPr>
            <w:fldChar w:fldCharType="separate"/>
          </w:r>
          <w:r>
            <w:rPr>
              <w:rFonts w:hint="eastAsia" w:eastAsia="黑体"/>
              <w:sz w:val="21"/>
              <w:szCs w:val="21"/>
              <w:highlight w:val="none"/>
            </w:rPr>
            <w:t xml:space="preserve">第1条 </w:t>
          </w:r>
          <w:r>
            <w:rPr>
              <w:rFonts w:hint="eastAsia" w:ascii="方正仿宋_GB2312" w:hAnsi="方正仿宋_GB2312" w:eastAsia="方正仿宋_GB2312" w:cs="方正仿宋_GB2312"/>
              <w:sz w:val="21"/>
              <w:szCs w:val="21"/>
              <w:highlight w:val="none"/>
            </w:rPr>
            <w:t>编制目的</w:t>
          </w:r>
          <w:r>
            <w:rPr>
              <w:sz w:val="21"/>
              <w:szCs w:val="21"/>
              <w:highlight w:val="none"/>
            </w:rPr>
            <w:tab/>
          </w:r>
          <w:r>
            <w:rPr>
              <w:sz w:val="21"/>
              <w:szCs w:val="21"/>
              <w:highlight w:val="none"/>
            </w:rPr>
            <w:fldChar w:fldCharType="begin"/>
          </w:r>
          <w:r>
            <w:rPr>
              <w:sz w:val="21"/>
              <w:szCs w:val="21"/>
              <w:highlight w:val="none"/>
            </w:rPr>
            <w:instrText xml:space="preserve"> PAGEREF _Toc10376 \h </w:instrText>
          </w:r>
          <w:r>
            <w:rPr>
              <w:sz w:val="21"/>
              <w:szCs w:val="21"/>
              <w:highlight w:val="none"/>
            </w:rPr>
            <w:fldChar w:fldCharType="separate"/>
          </w:r>
          <w:r>
            <w:rPr>
              <w:sz w:val="21"/>
              <w:szCs w:val="21"/>
              <w:highlight w:val="none"/>
            </w:rPr>
            <w:t>2</w:t>
          </w:r>
          <w:r>
            <w:rPr>
              <w:sz w:val="21"/>
              <w:szCs w:val="21"/>
              <w:highlight w:val="none"/>
            </w:rPr>
            <w:fldChar w:fldCharType="end"/>
          </w:r>
          <w:r>
            <w:rPr>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"_Toc4943"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第2条 </w:t>
          </w:r>
          <w:r>
            <w:rPr>
              <w:rFonts w:hint="eastAsia" w:ascii="方正仿宋_GB2312" w:hAnsi="方正仿宋_GB2312" w:eastAsia="方正仿宋_GB2312" w:cs="方正仿宋_GB2312"/>
              <w:sz w:val="21"/>
              <w:szCs w:val="21"/>
              <w:highlight w:val="none"/>
            </w:rPr>
            <w:t>指导思想</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_Toc4943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"_Toc18022" </w:instrText>
          </w:r>
          <w:r>
            <w:rPr>
              <w:highlight w:val="none"/>
            </w:rPr>
            <w:fldChar w:fldCharType="separate"/>
          </w:r>
          <w:r>
            <w:rPr>
              <w:rFonts w:hint="eastAsia" w:ascii="方正仿宋_GB2312" w:hAnsi="方正仿宋_GB2312" w:eastAsia="方正仿宋_GB2312" w:cs="方正仿宋_GB2312"/>
              <w:b/>
              <w:bCs/>
              <w:sz w:val="21"/>
              <w:szCs w:val="21"/>
              <w:highlight w:val="none"/>
            </w:rPr>
            <w:t>第3条</w:t>
          </w:r>
          <w:r>
            <w:rPr>
              <w:rFonts w:hint="eastAsia" w:ascii="方正仿宋_GB2312" w:hAnsi="方正仿宋_GB2312" w:eastAsia="方正仿宋_GB2312" w:cs="方正仿宋_GB2312"/>
              <w:sz w:val="21"/>
              <w:szCs w:val="21"/>
              <w:highlight w:val="none"/>
            </w:rPr>
            <w:t xml:space="preserve"> 规划依据</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_Toc18022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"_Toc7436" </w:instrText>
          </w:r>
          <w:r>
            <w:rPr>
              <w:highlight w:val="none"/>
            </w:rPr>
            <w:fldChar w:fldCharType="separate"/>
          </w:r>
          <w:r>
            <w:rPr>
              <w:rFonts w:hint="eastAsia" w:ascii="方正仿宋_GB2312" w:hAnsi="方正仿宋_GB2312" w:eastAsia="方正仿宋_GB2312" w:cs="方正仿宋_GB2312"/>
              <w:b/>
              <w:bCs/>
              <w:sz w:val="21"/>
              <w:szCs w:val="21"/>
              <w:highlight w:val="none"/>
            </w:rPr>
            <w:t>第4条</w:t>
          </w:r>
          <w:r>
            <w:rPr>
              <w:rFonts w:hint="eastAsia" w:ascii="方正仿宋_GB2312" w:hAnsi="方正仿宋_GB2312" w:eastAsia="方正仿宋_GB2312" w:cs="方正仿宋_GB2312"/>
              <w:sz w:val="21"/>
              <w:szCs w:val="21"/>
              <w:highlight w:val="none"/>
            </w:rPr>
            <w:t xml:space="preserve"> 规划原则</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_Toc7436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"_Toc10956" </w:instrText>
          </w:r>
          <w:r>
            <w:rPr>
              <w:highlight w:val="none"/>
            </w:rPr>
            <w:fldChar w:fldCharType="separate"/>
          </w:r>
          <w:r>
            <w:rPr>
              <w:rFonts w:hint="eastAsia" w:ascii="方正仿宋_GB2312" w:hAnsi="方正仿宋_GB2312" w:eastAsia="方正仿宋_GB2312" w:cs="方正仿宋_GB2312"/>
              <w:b/>
              <w:bCs/>
              <w:sz w:val="21"/>
              <w:szCs w:val="21"/>
              <w:highlight w:val="none"/>
            </w:rPr>
            <w:t>第5条</w:t>
          </w:r>
          <w:r>
            <w:rPr>
              <w:rFonts w:hint="eastAsia" w:ascii="方正仿宋_GB2312" w:hAnsi="方正仿宋_GB2312" w:eastAsia="方正仿宋_GB2312" w:cs="方正仿宋_GB2312"/>
              <w:sz w:val="21"/>
              <w:szCs w:val="21"/>
              <w:highlight w:val="none"/>
            </w:rPr>
            <w:t xml:space="preserve"> 规划期限</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_Toc10956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"_Toc26660" </w:instrText>
          </w:r>
          <w:r>
            <w:rPr>
              <w:highlight w:val="none"/>
            </w:rPr>
            <w:fldChar w:fldCharType="separate"/>
          </w:r>
          <w:r>
            <w:rPr>
              <w:rFonts w:hint="eastAsia" w:ascii="方正仿宋_GB2312" w:hAnsi="方正仿宋_GB2312" w:eastAsia="方正仿宋_GB2312" w:cs="方正仿宋_GB2312"/>
              <w:b/>
              <w:bCs/>
              <w:sz w:val="21"/>
              <w:szCs w:val="21"/>
              <w:highlight w:val="none"/>
            </w:rPr>
            <w:t>第6条</w:t>
          </w:r>
          <w:r>
            <w:rPr>
              <w:rFonts w:hint="eastAsia" w:ascii="方正仿宋_GB2312" w:hAnsi="方正仿宋_GB2312" w:eastAsia="方正仿宋_GB2312" w:cs="方正仿宋_GB2312"/>
              <w:sz w:val="21"/>
              <w:szCs w:val="21"/>
              <w:highlight w:val="none"/>
            </w:rPr>
            <w:t xml:space="preserve"> 规划范围</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_Toc26660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"_Toc26951" </w:instrText>
          </w:r>
          <w:r>
            <w:rPr>
              <w:highlight w:val="none"/>
            </w:rPr>
            <w:fldChar w:fldCharType="separate"/>
          </w:r>
          <w:r>
            <w:rPr>
              <w:rFonts w:hint="eastAsia" w:ascii="方正仿宋_GB2312" w:hAnsi="方正仿宋_GB2312" w:eastAsia="方正仿宋_GB2312" w:cs="方正仿宋_GB2312"/>
              <w:b/>
              <w:bCs/>
              <w:sz w:val="21"/>
              <w:szCs w:val="21"/>
              <w:highlight w:val="none"/>
            </w:rPr>
            <w:t>第7条</w:t>
          </w:r>
          <w:r>
            <w:rPr>
              <w:rFonts w:hint="eastAsia" w:ascii="方正仿宋_GB2312" w:hAnsi="方正仿宋_GB2312" w:eastAsia="方正仿宋_GB2312" w:cs="方正仿宋_GB2312"/>
              <w:sz w:val="21"/>
              <w:szCs w:val="21"/>
              <w:highlight w:val="none"/>
            </w:rPr>
            <w:t xml:space="preserve"> 强制性内容</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_Toc26951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"_Toc13192" </w:instrText>
          </w:r>
          <w:r>
            <w:rPr>
              <w:highlight w:val="none"/>
            </w:rPr>
            <w:fldChar w:fldCharType="separate"/>
          </w:r>
          <w:r>
            <w:rPr>
              <w:rFonts w:hint="eastAsia" w:ascii="方正仿宋_GB2312" w:hAnsi="方正仿宋_GB2312" w:eastAsia="方正仿宋_GB2312" w:cs="方正仿宋_GB2312"/>
              <w:b/>
              <w:bCs/>
              <w:sz w:val="21"/>
              <w:szCs w:val="21"/>
              <w:highlight w:val="none"/>
            </w:rPr>
            <w:t>第8条</w:t>
          </w:r>
          <w:r>
            <w:rPr>
              <w:rFonts w:hint="eastAsia" w:ascii="方正仿宋_GB2312" w:hAnsi="方正仿宋_GB2312" w:eastAsia="方正仿宋_GB2312" w:cs="方正仿宋_GB2312"/>
              <w:sz w:val="21"/>
              <w:szCs w:val="21"/>
              <w:highlight w:val="none"/>
            </w:rPr>
            <w:t xml:space="preserve"> 规划解释</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_Toc13192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"_Toc16439" </w:instrText>
          </w:r>
          <w:r>
            <w:rPr>
              <w:highlight w:val="none"/>
            </w:rPr>
            <w:fldChar w:fldCharType="separate"/>
          </w:r>
          <w:r>
            <w:rPr>
              <w:rFonts w:hint="eastAsia" w:ascii="黑体" w:hAnsi="黑体" w:eastAsia="黑体" w:cs="黑体"/>
              <w:sz w:val="28"/>
              <w:szCs w:val="28"/>
              <w:highlight w:val="none"/>
            </w:rPr>
            <w:t>第二章 现状基础</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_Toc16439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7</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"_Toc6790" </w:instrText>
          </w:r>
          <w:r>
            <w:rPr>
              <w:highlight w:val="none"/>
            </w:rPr>
            <w:fldChar w:fldCharType="separate"/>
          </w:r>
          <w:r>
            <w:rPr>
              <w:rFonts w:hint="eastAsia" w:ascii="方正仿宋_GB2312" w:hAnsi="方正仿宋_GB2312" w:eastAsia="方正仿宋_GB2312" w:cs="方正仿宋_GB2312"/>
              <w:b/>
              <w:bCs/>
              <w:sz w:val="21"/>
              <w:szCs w:val="21"/>
              <w:highlight w:val="none"/>
            </w:rPr>
            <w:t>第9条</w:t>
          </w:r>
          <w:r>
            <w:rPr>
              <w:rFonts w:hint="eastAsia" w:ascii="方正仿宋_GB2312" w:hAnsi="方正仿宋_GB2312" w:eastAsia="方正仿宋_GB2312" w:cs="方正仿宋_GB2312"/>
              <w:sz w:val="21"/>
              <w:szCs w:val="21"/>
              <w:highlight w:val="none"/>
            </w:rPr>
            <w:t xml:space="preserve"> 现状基数</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_Toc6790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"_Toc627" </w:instrText>
          </w:r>
          <w:r>
            <w:rPr>
              <w:highlight w:val="none"/>
            </w:rPr>
            <w:fldChar w:fldCharType="separate"/>
          </w:r>
          <w:r>
            <w:rPr>
              <w:rFonts w:hint="eastAsia" w:ascii="方正仿宋_GB2312" w:hAnsi="方正仿宋_GB2312" w:eastAsia="方正仿宋_GB2312" w:cs="方正仿宋_GB2312"/>
              <w:b/>
              <w:bCs/>
              <w:sz w:val="21"/>
              <w:szCs w:val="21"/>
              <w:highlight w:val="none"/>
            </w:rPr>
            <w:t>第10条</w:t>
          </w:r>
          <w:r>
            <w:rPr>
              <w:rFonts w:hint="eastAsia" w:ascii="方正仿宋_GB2312" w:hAnsi="方正仿宋_GB2312" w:eastAsia="方正仿宋_GB2312" w:cs="方正仿宋_GB2312"/>
              <w:sz w:val="21"/>
              <w:szCs w:val="21"/>
              <w:highlight w:val="none"/>
            </w:rPr>
            <w:t xml:space="preserve"> 资源环境承载能力和国土空间开发适宜性评价</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_Toc627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"_Toc15955" </w:instrText>
          </w:r>
          <w:r>
            <w:rPr>
              <w:highlight w:val="none"/>
            </w:rPr>
            <w:fldChar w:fldCharType="separate"/>
          </w:r>
          <w:r>
            <w:rPr>
              <w:rFonts w:hint="eastAsia" w:ascii="方正仿宋_GB2312" w:hAnsi="方正仿宋_GB2312" w:eastAsia="方正仿宋_GB2312" w:cs="方正仿宋_GB2312"/>
              <w:b/>
              <w:bCs/>
              <w:sz w:val="21"/>
              <w:szCs w:val="21"/>
              <w:highlight w:val="none"/>
            </w:rPr>
            <w:t>第11条</w:t>
          </w:r>
          <w:r>
            <w:rPr>
              <w:rFonts w:hint="eastAsia" w:ascii="方正仿宋_GB2312" w:hAnsi="方正仿宋_GB2312" w:eastAsia="方正仿宋_GB2312" w:cs="方正仿宋_GB2312"/>
              <w:sz w:val="21"/>
              <w:szCs w:val="21"/>
              <w:highlight w:val="none"/>
            </w:rPr>
            <w:t xml:space="preserve"> 国土空间开发保护问题</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_Toc15955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"_Toc26414" </w:instrText>
          </w:r>
          <w:r>
            <w:rPr>
              <w:highlight w:val="none"/>
            </w:rPr>
            <w:fldChar w:fldCharType="separate"/>
          </w:r>
          <w:r>
            <w:rPr>
              <w:rFonts w:hint="eastAsia" w:ascii="黑体" w:hAnsi="黑体" w:eastAsia="黑体" w:cs="黑体"/>
              <w:sz w:val="28"/>
              <w:szCs w:val="28"/>
              <w:highlight w:val="none"/>
            </w:rPr>
            <w:t>第三章 目标定位</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_Toc26414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10</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"_Toc28891" </w:instrText>
          </w:r>
          <w:r>
            <w:rPr>
              <w:highlight w:val="none"/>
            </w:rPr>
            <w:fldChar w:fldCharType="separate"/>
          </w:r>
          <w:r>
            <w:rPr>
              <w:rFonts w:hint="eastAsia" w:ascii="方正仿宋_GB2312" w:hAnsi="方正仿宋_GB2312" w:eastAsia="方正仿宋_GB2312" w:cs="方正仿宋_GB2312"/>
              <w:b/>
              <w:bCs/>
              <w:sz w:val="21"/>
              <w:szCs w:val="21"/>
              <w:highlight w:val="none"/>
            </w:rPr>
            <w:t>第12条</w:t>
          </w:r>
          <w:r>
            <w:rPr>
              <w:rFonts w:hint="eastAsia" w:ascii="方正仿宋_GB2312" w:hAnsi="方正仿宋_GB2312" w:eastAsia="方正仿宋_GB2312" w:cs="方正仿宋_GB2312"/>
              <w:sz w:val="21"/>
              <w:szCs w:val="21"/>
              <w:highlight w:val="none"/>
            </w:rPr>
            <w:t xml:space="preserve"> 目标愿景</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_Toc28891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"_Toc14853" </w:instrText>
          </w:r>
          <w:r>
            <w:rPr>
              <w:highlight w:val="none"/>
            </w:rPr>
            <w:fldChar w:fldCharType="separate"/>
          </w:r>
          <w:r>
            <w:rPr>
              <w:rFonts w:hint="eastAsia" w:ascii="方正仿宋_GB2312" w:hAnsi="方正仿宋_GB2312" w:eastAsia="方正仿宋_GB2312" w:cs="方正仿宋_GB2312"/>
              <w:b/>
              <w:bCs/>
              <w:sz w:val="21"/>
              <w:szCs w:val="21"/>
              <w:highlight w:val="none"/>
            </w:rPr>
            <w:t>第13条</w:t>
          </w:r>
          <w:r>
            <w:rPr>
              <w:rFonts w:hint="eastAsia" w:ascii="方正仿宋_GB2312" w:hAnsi="方正仿宋_GB2312" w:eastAsia="方正仿宋_GB2312" w:cs="方正仿宋_GB2312"/>
              <w:sz w:val="21"/>
              <w:szCs w:val="21"/>
              <w:highlight w:val="none"/>
            </w:rPr>
            <w:t xml:space="preserve"> 城镇性质</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_Toc14853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"_Toc4904" </w:instrText>
          </w:r>
          <w:r>
            <w:rPr>
              <w:highlight w:val="none"/>
            </w:rPr>
            <w:fldChar w:fldCharType="separate"/>
          </w:r>
          <w:r>
            <w:rPr>
              <w:rFonts w:hint="eastAsia" w:ascii="方正仿宋_GB2312" w:hAnsi="方正仿宋_GB2312" w:eastAsia="方正仿宋_GB2312" w:cs="方正仿宋_GB2312"/>
              <w:b/>
              <w:bCs/>
              <w:sz w:val="21"/>
              <w:szCs w:val="21"/>
              <w:highlight w:val="none"/>
            </w:rPr>
            <w:t>第14条</w:t>
          </w:r>
          <w:r>
            <w:rPr>
              <w:rFonts w:hint="eastAsia" w:ascii="方正仿宋_GB2312" w:hAnsi="方正仿宋_GB2312" w:eastAsia="方正仿宋_GB2312" w:cs="方正仿宋_GB2312"/>
              <w:sz w:val="21"/>
              <w:szCs w:val="21"/>
              <w:highlight w:val="none"/>
            </w:rPr>
            <w:t xml:space="preserve"> 国土空间开发保护策略</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_Toc4904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"_Toc29775" </w:instrText>
          </w:r>
          <w:r>
            <w:rPr>
              <w:highlight w:val="none"/>
            </w:rPr>
            <w:fldChar w:fldCharType="separate"/>
          </w:r>
          <w:r>
            <w:rPr>
              <w:rFonts w:hint="eastAsia" w:ascii="方正仿宋_GB2312" w:hAnsi="方正仿宋_GB2312" w:eastAsia="方正仿宋_GB2312" w:cs="方正仿宋_GB2312"/>
              <w:b/>
              <w:bCs/>
              <w:sz w:val="21"/>
              <w:szCs w:val="21"/>
              <w:highlight w:val="none"/>
            </w:rPr>
            <w:t>第15条</w:t>
          </w:r>
          <w:r>
            <w:rPr>
              <w:rFonts w:hint="eastAsia" w:ascii="方正仿宋_GB2312" w:hAnsi="方正仿宋_GB2312" w:eastAsia="方正仿宋_GB2312" w:cs="方正仿宋_GB2312"/>
              <w:sz w:val="21"/>
              <w:szCs w:val="21"/>
              <w:highlight w:val="none"/>
            </w:rPr>
            <w:t xml:space="preserve"> 城镇规模</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_Toc29775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"_Toc11225" </w:instrText>
          </w:r>
          <w:r>
            <w:rPr>
              <w:highlight w:val="none"/>
            </w:rPr>
            <w:fldChar w:fldCharType="separate"/>
          </w:r>
          <w:r>
            <w:rPr>
              <w:rFonts w:hint="eastAsia" w:ascii="方正仿宋_GB2312" w:hAnsi="方正仿宋_GB2312" w:eastAsia="方正仿宋_GB2312" w:cs="方正仿宋_GB2312"/>
              <w:b/>
              <w:bCs/>
              <w:sz w:val="21"/>
              <w:szCs w:val="21"/>
              <w:highlight w:val="none"/>
            </w:rPr>
            <w:t>第16条</w:t>
          </w:r>
          <w:r>
            <w:rPr>
              <w:rFonts w:hint="eastAsia" w:ascii="方正仿宋_GB2312" w:hAnsi="方正仿宋_GB2312" w:eastAsia="方正仿宋_GB2312" w:cs="方正仿宋_GB2312"/>
              <w:sz w:val="21"/>
              <w:szCs w:val="21"/>
              <w:highlight w:val="none"/>
            </w:rPr>
            <w:t xml:space="preserve"> 国土空间规划指标体系</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_Toc11225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"_Toc21038" </w:instrText>
          </w:r>
          <w:r>
            <w:rPr>
              <w:highlight w:val="none"/>
            </w:rPr>
            <w:fldChar w:fldCharType="separate"/>
          </w:r>
          <w:r>
            <w:rPr>
              <w:rFonts w:hint="eastAsia" w:ascii="黑体" w:hAnsi="黑体" w:eastAsia="黑体" w:cs="黑体"/>
              <w:sz w:val="28"/>
              <w:szCs w:val="28"/>
              <w:highlight w:val="none"/>
            </w:rPr>
            <w:t>第四章 国土空间格局</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_Toc21038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14</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"_Toc7811" </w:instrText>
          </w:r>
          <w:r>
            <w:rPr>
              <w:highlight w:val="none"/>
            </w:rPr>
            <w:fldChar w:fldCharType="separate"/>
          </w:r>
          <w:r>
            <w:rPr>
              <w:rFonts w:hint="eastAsia" w:ascii="楷体" w:hAnsi="楷体" w:eastAsia="楷体" w:cs="楷体"/>
              <w:highlight w:val="none"/>
            </w:rPr>
            <w:t>第一节 国土空间开发保护格局</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_Toc7811 \h </w:instrText>
          </w:r>
          <w:r>
            <w:rPr>
              <w:rFonts w:hint="eastAsia" w:ascii="楷体" w:hAnsi="楷体" w:eastAsia="楷体" w:cs="楷体"/>
              <w:highlight w:val="none"/>
            </w:rPr>
            <w:fldChar w:fldCharType="separate"/>
          </w:r>
          <w:r>
            <w:rPr>
              <w:rFonts w:hint="eastAsia" w:ascii="楷体" w:hAnsi="楷体" w:eastAsia="楷体" w:cs="楷体"/>
              <w:highlight w:val="none"/>
            </w:rPr>
            <w:t>14</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"_Toc18678" </w:instrText>
          </w:r>
          <w:r>
            <w:rPr>
              <w:highlight w:val="none"/>
            </w:rPr>
            <w:fldChar w:fldCharType="separate"/>
          </w:r>
          <w:r>
            <w:rPr>
              <w:rFonts w:hint="eastAsia" w:ascii="方正仿宋_GB2312" w:hAnsi="方正仿宋_GB2312" w:eastAsia="方正仿宋_GB2312" w:cs="方正仿宋_GB2312"/>
              <w:b/>
              <w:bCs/>
              <w:sz w:val="21"/>
              <w:szCs w:val="21"/>
              <w:highlight w:val="none"/>
            </w:rPr>
            <w:t>第17条</w:t>
          </w:r>
          <w:r>
            <w:rPr>
              <w:rFonts w:hint="eastAsia" w:ascii="方正仿宋_GB2312" w:hAnsi="方正仿宋_GB2312" w:eastAsia="方正仿宋_GB2312" w:cs="方正仿宋_GB2312"/>
              <w:sz w:val="21"/>
              <w:szCs w:val="21"/>
              <w:highlight w:val="none"/>
            </w:rPr>
            <w:t xml:space="preserve"> 国土空间开发保护格局</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_Toc18678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"_Toc29430" </w:instrText>
          </w:r>
          <w:r>
            <w:rPr>
              <w:highlight w:val="none"/>
            </w:rPr>
            <w:fldChar w:fldCharType="separate"/>
          </w:r>
          <w:r>
            <w:rPr>
              <w:rFonts w:hint="eastAsia" w:ascii="楷体" w:hAnsi="楷体" w:eastAsia="楷体" w:cs="楷体"/>
              <w:highlight w:val="none"/>
            </w:rPr>
            <w:t>第二节 三条控制线落实与管控</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_Toc29430 \h </w:instrText>
          </w:r>
          <w:r>
            <w:rPr>
              <w:rFonts w:hint="eastAsia" w:ascii="楷体" w:hAnsi="楷体" w:eastAsia="楷体" w:cs="楷体"/>
              <w:highlight w:val="none"/>
            </w:rPr>
            <w:fldChar w:fldCharType="separate"/>
          </w:r>
          <w:r>
            <w:rPr>
              <w:rFonts w:hint="eastAsia" w:ascii="楷体" w:hAnsi="楷体" w:eastAsia="楷体" w:cs="楷体"/>
              <w:highlight w:val="none"/>
            </w:rPr>
            <w:t>15</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"_Toc12762" </w:instrText>
          </w:r>
          <w:r>
            <w:rPr>
              <w:highlight w:val="none"/>
            </w:rPr>
            <w:fldChar w:fldCharType="separate"/>
          </w:r>
          <w:r>
            <w:rPr>
              <w:rFonts w:hint="eastAsia" w:ascii="方正仿宋_GB2312" w:hAnsi="方正仿宋_GB2312" w:eastAsia="方正仿宋_GB2312" w:cs="方正仿宋_GB2312"/>
              <w:b/>
              <w:bCs/>
              <w:sz w:val="21"/>
              <w:szCs w:val="21"/>
              <w:highlight w:val="none"/>
            </w:rPr>
            <w:t>第18条</w:t>
          </w:r>
          <w:r>
            <w:rPr>
              <w:rFonts w:hint="eastAsia" w:ascii="方正仿宋_GB2312" w:hAnsi="方正仿宋_GB2312" w:eastAsia="方正仿宋_GB2312" w:cs="方正仿宋_GB2312"/>
              <w:sz w:val="21"/>
              <w:szCs w:val="21"/>
              <w:highlight w:val="none"/>
            </w:rPr>
            <w:t xml:space="preserve"> 落实耕地与永久基本农田保护红线</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_Toc12762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"_Toc21428" </w:instrText>
          </w:r>
          <w:r>
            <w:rPr>
              <w:highlight w:val="none"/>
            </w:rPr>
            <w:fldChar w:fldCharType="separate"/>
          </w:r>
          <w:r>
            <w:rPr>
              <w:rFonts w:hint="eastAsia" w:ascii="方正仿宋_GB2312" w:hAnsi="方正仿宋_GB2312" w:eastAsia="方正仿宋_GB2312" w:cs="方正仿宋_GB2312"/>
              <w:b/>
              <w:bCs/>
              <w:sz w:val="21"/>
              <w:szCs w:val="21"/>
              <w:highlight w:val="none"/>
            </w:rPr>
            <w:t>第19条</w:t>
          </w:r>
          <w:r>
            <w:rPr>
              <w:rFonts w:hint="eastAsia" w:ascii="方正仿宋_GB2312" w:hAnsi="方正仿宋_GB2312" w:eastAsia="方正仿宋_GB2312" w:cs="方正仿宋_GB2312"/>
              <w:sz w:val="21"/>
              <w:szCs w:val="21"/>
              <w:highlight w:val="none"/>
            </w:rPr>
            <w:t xml:space="preserve"> 落实生态保护红线</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_Toc21428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方正仿宋_GB2312" w:hAnsi="方正仿宋_GB2312" w:eastAsia="方正仿宋_GB2312" w:cs="方正仿宋_GB2312"/>
              <w:b/>
              <w:bCs/>
              <w:sz w:val="21"/>
              <w:szCs w:val="21"/>
              <w:highlight w:val="none"/>
            </w:rPr>
            <w:t>第20条</w:t>
          </w:r>
          <w:r>
            <w:rPr>
              <w:rFonts w:hint="eastAsia" w:ascii="方正仿宋_GB2312" w:hAnsi="方正仿宋_GB2312" w:eastAsia="方正仿宋_GB2312" w:cs="方正仿宋_GB2312"/>
              <w:sz w:val="21"/>
              <w:szCs w:val="21"/>
              <w:highlight w:val="none"/>
            </w:rPr>
            <w:t xml:space="preserve"> 落实城镇开发边界</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_Toc21254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"_Toc25888" </w:instrText>
          </w:r>
          <w:r>
            <w:rPr>
              <w:highlight w:val="none"/>
            </w:rPr>
            <w:fldChar w:fldCharType="separate"/>
          </w:r>
          <w:r>
            <w:rPr>
              <w:rFonts w:hint="eastAsia" w:ascii="楷体" w:hAnsi="楷体" w:eastAsia="楷体" w:cs="楷体"/>
              <w:highlight w:val="none"/>
            </w:rPr>
            <w:t>第三节 国土空间规划用途</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_Toc25888 \h </w:instrText>
          </w:r>
          <w:r>
            <w:rPr>
              <w:rFonts w:hint="eastAsia" w:ascii="楷体" w:hAnsi="楷体" w:eastAsia="楷体" w:cs="楷体"/>
              <w:highlight w:val="none"/>
            </w:rPr>
            <w:fldChar w:fldCharType="separate"/>
          </w:r>
          <w:r>
            <w:rPr>
              <w:rFonts w:hint="eastAsia" w:ascii="楷体" w:hAnsi="楷体" w:eastAsia="楷体" w:cs="楷体"/>
              <w:highlight w:val="none"/>
            </w:rPr>
            <w:t>17</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"_Toc656" </w:instrText>
          </w:r>
          <w:r>
            <w:rPr>
              <w:highlight w:val="none"/>
            </w:rPr>
            <w:fldChar w:fldCharType="separate"/>
          </w:r>
          <w:r>
            <w:rPr>
              <w:rFonts w:hint="eastAsia" w:ascii="方正仿宋_GB2312" w:hAnsi="方正仿宋_GB2312" w:eastAsia="方正仿宋_GB2312" w:cs="方正仿宋_GB2312"/>
              <w:b/>
              <w:bCs/>
              <w:sz w:val="21"/>
              <w:szCs w:val="21"/>
              <w:highlight w:val="none"/>
            </w:rPr>
            <w:t>第21条</w:t>
          </w:r>
          <w:r>
            <w:rPr>
              <w:rFonts w:hint="eastAsia" w:ascii="方正仿宋_GB2312" w:hAnsi="方正仿宋_GB2312" w:eastAsia="方正仿宋_GB2312" w:cs="方正仿宋_GB2312"/>
              <w:sz w:val="21"/>
              <w:szCs w:val="21"/>
              <w:highlight w:val="none"/>
            </w:rPr>
            <w:t xml:space="preserve"> 国土空间规划分区</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_Toc656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"_Toc25394" </w:instrText>
          </w:r>
          <w:r>
            <w:rPr>
              <w:highlight w:val="none"/>
            </w:rPr>
            <w:fldChar w:fldCharType="separate"/>
          </w:r>
          <w:r>
            <w:rPr>
              <w:rFonts w:hint="eastAsia" w:ascii="方正仿宋_GB2312" w:hAnsi="方正仿宋_GB2312" w:eastAsia="方正仿宋_GB2312" w:cs="方正仿宋_GB2312"/>
              <w:b/>
              <w:bCs/>
              <w:sz w:val="21"/>
              <w:szCs w:val="21"/>
              <w:highlight w:val="none"/>
            </w:rPr>
            <w:t>第22条</w:t>
          </w:r>
          <w:r>
            <w:rPr>
              <w:rFonts w:hint="eastAsia" w:ascii="方正仿宋_GB2312" w:hAnsi="方正仿宋_GB2312" w:eastAsia="方正仿宋_GB2312" w:cs="方正仿宋_GB2312"/>
              <w:sz w:val="21"/>
              <w:szCs w:val="21"/>
              <w:highlight w:val="none"/>
            </w:rPr>
            <w:t xml:space="preserve"> 国土空间用途结构优化</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_Toc25394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18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"_Toc14822" </w:instrText>
          </w:r>
          <w:r>
            <w:rPr>
              <w:highlight w:val="none"/>
            </w:rPr>
            <w:fldChar w:fldCharType="separate"/>
          </w:r>
          <w:r>
            <w:rPr>
              <w:rFonts w:hint="eastAsia" w:ascii="黑体" w:hAnsi="黑体" w:eastAsia="黑体" w:cs="黑体"/>
              <w:sz w:val="28"/>
              <w:szCs w:val="28"/>
              <w:highlight w:val="none"/>
            </w:rPr>
            <w:t>第五章 自然资源保护与利用</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_Toc14822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20</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"_Toc8623" </w:instrText>
          </w:r>
          <w:r>
            <w:rPr>
              <w:highlight w:val="none"/>
            </w:rPr>
            <w:fldChar w:fldCharType="separate"/>
          </w:r>
          <w:r>
            <w:rPr>
              <w:rFonts w:hint="eastAsia" w:ascii="方正仿宋_GB2312" w:hAnsi="方正仿宋_GB2312" w:eastAsia="方正仿宋_GB2312" w:cs="方正仿宋_GB2312"/>
              <w:b/>
              <w:bCs/>
              <w:sz w:val="21"/>
              <w:szCs w:val="21"/>
              <w:highlight w:val="none"/>
            </w:rPr>
            <w:t>第23条</w:t>
          </w:r>
          <w:r>
            <w:rPr>
              <w:rFonts w:hint="eastAsia" w:ascii="方正仿宋_GB2312" w:hAnsi="方正仿宋_GB2312" w:eastAsia="方正仿宋_GB2312" w:cs="方正仿宋_GB2312"/>
              <w:sz w:val="21"/>
              <w:szCs w:val="21"/>
              <w:highlight w:val="none"/>
            </w:rPr>
            <w:t xml:space="preserve"> 水资源与湿地保护与利用</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_Toc8623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"_Toc26010" </w:instrText>
          </w:r>
          <w:r>
            <w:rPr>
              <w:highlight w:val="none"/>
            </w:rPr>
            <w:fldChar w:fldCharType="separate"/>
          </w:r>
          <w:r>
            <w:rPr>
              <w:rFonts w:hint="eastAsia" w:ascii="方正仿宋_GB2312" w:hAnsi="方正仿宋_GB2312" w:eastAsia="方正仿宋_GB2312" w:cs="方正仿宋_GB2312"/>
              <w:b/>
              <w:bCs/>
              <w:sz w:val="21"/>
              <w:szCs w:val="21"/>
              <w:highlight w:val="none"/>
            </w:rPr>
            <w:t>第24条</w:t>
          </w:r>
          <w:r>
            <w:rPr>
              <w:rFonts w:hint="eastAsia" w:ascii="方正仿宋_GB2312" w:hAnsi="方正仿宋_GB2312" w:eastAsia="方正仿宋_GB2312" w:cs="方正仿宋_GB2312"/>
              <w:sz w:val="21"/>
              <w:szCs w:val="21"/>
              <w:highlight w:val="none"/>
            </w:rPr>
            <w:t xml:space="preserve"> 森林资源保护与利用</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_Toc26010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"_Toc11059" </w:instrText>
          </w:r>
          <w:r>
            <w:rPr>
              <w:highlight w:val="none"/>
            </w:rPr>
            <w:fldChar w:fldCharType="separate"/>
          </w:r>
          <w:r>
            <w:rPr>
              <w:rFonts w:hint="eastAsia" w:ascii="方正仿宋_GB2312" w:hAnsi="方正仿宋_GB2312" w:eastAsia="方正仿宋_GB2312" w:cs="方正仿宋_GB2312"/>
              <w:b/>
              <w:bCs/>
              <w:sz w:val="21"/>
              <w:szCs w:val="21"/>
              <w:highlight w:val="none"/>
            </w:rPr>
            <w:t>第25条</w:t>
          </w:r>
          <w:r>
            <w:rPr>
              <w:rFonts w:hint="eastAsia" w:ascii="方正仿宋_GB2312" w:hAnsi="方正仿宋_GB2312" w:eastAsia="方正仿宋_GB2312" w:cs="方正仿宋_GB2312"/>
              <w:sz w:val="21"/>
              <w:szCs w:val="21"/>
              <w:highlight w:val="none"/>
            </w:rPr>
            <w:t xml:space="preserve"> 耕地资源保护与利用</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_Toc11059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"_Toc23753" </w:instrText>
          </w:r>
          <w:r>
            <w:rPr>
              <w:highlight w:val="none"/>
            </w:rPr>
            <w:fldChar w:fldCharType="separate"/>
          </w:r>
          <w:r>
            <w:rPr>
              <w:rFonts w:hint="eastAsia" w:ascii="方正仿宋_GB2312" w:hAnsi="方正仿宋_GB2312" w:eastAsia="方正仿宋_GB2312" w:cs="方正仿宋_GB2312"/>
              <w:b/>
              <w:bCs/>
              <w:sz w:val="21"/>
              <w:szCs w:val="21"/>
              <w:highlight w:val="none"/>
            </w:rPr>
            <w:t>第26条</w:t>
          </w:r>
          <w:r>
            <w:rPr>
              <w:rFonts w:hint="eastAsia" w:ascii="方正仿宋_GB2312" w:hAnsi="方正仿宋_GB2312" w:eastAsia="方正仿宋_GB2312" w:cs="方正仿宋_GB2312"/>
              <w:sz w:val="21"/>
              <w:szCs w:val="21"/>
              <w:highlight w:val="none"/>
            </w:rPr>
            <w:t xml:space="preserve"> 矿产资源保护与利用</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_Toc23753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"_Toc23960" </w:instrText>
          </w:r>
          <w:r>
            <w:rPr>
              <w:highlight w:val="none"/>
            </w:rPr>
            <w:fldChar w:fldCharType="separate"/>
          </w:r>
          <w:r>
            <w:rPr>
              <w:rFonts w:hint="eastAsia" w:ascii="方正仿宋_GB2312" w:hAnsi="方正仿宋_GB2312" w:eastAsia="方正仿宋_GB2312" w:cs="方正仿宋_GB2312"/>
              <w:b/>
              <w:bCs/>
              <w:sz w:val="21"/>
              <w:szCs w:val="21"/>
              <w:highlight w:val="none"/>
            </w:rPr>
            <w:t>第27条</w:t>
          </w:r>
          <w:r>
            <w:rPr>
              <w:rFonts w:hint="eastAsia" w:ascii="方正仿宋_GB2312" w:hAnsi="方正仿宋_GB2312" w:eastAsia="方正仿宋_GB2312" w:cs="方正仿宋_GB2312"/>
              <w:sz w:val="21"/>
              <w:szCs w:val="21"/>
              <w:highlight w:val="none"/>
            </w:rPr>
            <w:t xml:space="preserve"> 支撑碳达峰碳中和</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_Toc23960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"_Toc1127" </w:instrText>
          </w:r>
          <w:r>
            <w:rPr>
              <w:highlight w:val="none"/>
            </w:rPr>
            <w:fldChar w:fldCharType="separate"/>
          </w:r>
          <w:r>
            <w:rPr>
              <w:rFonts w:hint="eastAsia" w:ascii="黑体" w:hAnsi="黑体" w:eastAsia="黑体" w:cs="黑体"/>
              <w:sz w:val="28"/>
              <w:szCs w:val="28"/>
              <w:highlight w:val="none"/>
            </w:rPr>
            <w:t>第六章 城乡统筹发展</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_Toc1127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27</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"_Toc5753" </w:instrText>
          </w:r>
          <w:r>
            <w:rPr>
              <w:highlight w:val="none"/>
            </w:rPr>
            <w:fldChar w:fldCharType="separate"/>
          </w:r>
          <w:r>
            <w:rPr>
              <w:rFonts w:hint="eastAsia" w:ascii="楷体" w:hAnsi="楷体" w:eastAsia="楷体" w:cs="楷体"/>
              <w:highlight w:val="none"/>
            </w:rPr>
            <w:t>第一节 镇村体系与村庄引导</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_Toc5753 \h </w:instrText>
          </w:r>
          <w:r>
            <w:rPr>
              <w:rFonts w:hint="eastAsia" w:ascii="楷体" w:hAnsi="楷体" w:eastAsia="楷体" w:cs="楷体"/>
              <w:highlight w:val="none"/>
            </w:rPr>
            <w:fldChar w:fldCharType="separate"/>
          </w:r>
          <w:r>
            <w:rPr>
              <w:rFonts w:hint="eastAsia" w:ascii="楷体" w:hAnsi="楷体" w:eastAsia="楷体" w:cs="楷体"/>
              <w:highlight w:val="none"/>
            </w:rPr>
            <w:t>27</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"_Toc1587" </w:instrText>
          </w:r>
          <w:r>
            <w:rPr>
              <w:highlight w:val="none"/>
            </w:rPr>
            <w:fldChar w:fldCharType="separate"/>
          </w:r>
          <w:r>
            <w:rPr>
              <w:rFonts w:hint="eastAsia" w:ascii="方正仿宋_GB2312" w:hAnsi="方正仿宋_GB2312" w:eastAsia="方正仿宋_GB2312" w:cs="方正仿宋_GB2312"/>
              <w:b/>
              <w:bCs/>
              <w:sz w:val="21"/>
              <w:szCs w:val="21"/>
              <w:highlight w:val="none"/>
            </w:rPr>
            <w:t>第28条</w:t>
          </w:r>
          <w:r>
            <w:rPr>
              <w:rFonts w:hint="eastAsia" w:ascii="方正仿宋_GB2312" w:hAnsi="方正仿宋_GB2312" w:eastAsia="方正仿宋_GB2312" w:cs="方正仿宋_GB2312"/>
              <w:sz w:val="21"/>
              <w:szCs w:val="21"/>
              <w:highlight w:val="none"/>
            </w:rPr>
            <w:t xml:space="preserve"> 镇域镇村体系规划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_Toc1587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"_Toc22755" </w:instrText>
          </w:r>
          <w:r>
            <w:rPr>
              <w:highlight w:val="none"/>
            </w:rPr>
            <w:fldChar w:fldCharType="separate"/>
          </w:r>
          <w:r>
            <w:rPr>
              <w:rFonts w:hint="eastAsia" w:ascii="方正仿宋_GB2312" w:hAnsi="方正仿宋_GB2312" w:eastAsia="方正仿宋_GB2312" w:cs="方正仿宋_GB2312"/>
              <w:b/>
              <w:bCs/>
              <w:sz w:val="21"/>
              <w:szCs w:val="21"/>
              <w:highlight w:val="none"/>
            </w:rPr>
            <w:t>第29条</w:t>
          </w:r>
          <w:r>
            <w:rPr>
              <w:rFonts w:hint="eastAsia" w:ascii="方正仿宋_GB2312" w:hAnsi="方正仿宋_GB2312" w:eastAsia="方正仿宋_GB2312" w:cs="方正仿宋_GB2312"/>
              <w:sz w:val="21"/>
              <w:szCs w:val="21"/>
              <w:highlight w:val="none"/>
            </w:rPr>
            <w:t xml:space="preserve"> 分类引导村庄建设</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_Toc22755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"_Toc45" </w:instrText>
          </w:r>
          <w:r>
            <w:rPr>
              <w:highlight w:val="none"/>
            </w:rPr>
            <w:fldChar w:fldCharType="separate"/>
          </w:r>
          <w:r>
            <w:rPr>
              <w:rFonts w:hint="eastAsia" w:ascii="方正仿宋_GB2312" w:hAnsi="方正仿宋_GB2312" w:eastAsia="方正仿宋_GB2312" w:cs="方正仿宋_GB2312"/>
              <w:b/>
              <w:bCs/>
              <w:sz w:val="21"/>
              <w:szCs w:val="21"/>
              <w:highlight w:val="none"/>
            </w:rPr>
            <w:t>第30条</w:t>
          </w:r>
          <w:r>
            <w:rPr>
              <w:rFonts w:hint="eastAsia" w:ascii="方正仿宋_GB2312" w:hAnsi="方正仿宋_GB2312" w:eastAsia="方正仿宋_GB2312" w:cs="方正仿宋_GB2312"/>
              <w:sz w:val="21"/>
              <w:szCs w:val="21"/>
              <w:highlight w:val="none"/>
            </w:rPr>
            <w:t xml:space="preserve"> 村庄发展指引</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_Toc45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29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"_Toc23919" </w:instrText>
          </w:r>
          <w:r>
            <w:rPr>
              <w:highlight w:val="none"/>
            </w:rPr>
            <w:fldChar w:fldCharType="separate"/>
          </w:r>
          <w:r>
            <w:rPr>
              <w:rFonts w:hint="eastAsia" w:ascii="楷体" w:hAnsi="楷体" w:eastAsia="楷体" w:cs="楷体"/>
              <w:highlight w:val="none"/>
            </w:rPr>
            <w:t>第二节 居住与住房保障</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_Toc23919 \h </w:instrText>
          </w:r>
          <w:r>
            <w:rPr>
              <w:rFonts w:hint="eastAsia" w:ascii="楷体" w:hAnsi="楷体" w:eastAsia="楷体" w:cs="楷体"/>
              <w:highlight w:val="none"/>
            </w:rPr>
            <w:fldChar w:fldCharType="separate"/>
          </w:r>
          <w:r>
            <w:rPr>
              <w:rFonts w:hint="eastAsia" w:ascii="楷体" w:hAnsi="楷体" w:eastAsia="楷体" w:cs="楷体"/>
              <w:highlight w:val="none"/>
            </w:rPr>
            <w:t>33</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"_Toc30905" </w:instrText>
          </w:r>
          <w:r>
            <w:rPr>
              <w:highlight w:val="none"/>
            </w:rPr>
            <w:fldChar w:fldCharType="separate"/>
          </w:r>
          <w:r>
            <w:rPr>
              <w:rFonts w:hint="eastAsia" w:ascii="方正仿宋_GB2312" w:hAnsi="方正仿宋_GB2312" w:eastAsia="方正仿宋_GB2312" w:cs="方正仿宋_GB2312"/>
              <w:b/>
              <w:bCs/>
              <w:sz w:val="21"/>
              <w:szCs w:val="21"/>
              <w:highlight w:val="none"/>
            </w:rPr>
            <w:t>第31条</w:t>
          </w:r>
          <w:r>
            <w:rPr>
              <w:rFonts w:hint="eastAsia" w:ascii="方正仿宋_GB2312" w:hAnsi="方正仿宋_GB2312" w:eastAsia="方正仿宋_GB2312" w:cs="方正仿宋_GB2312"/>
              <w:sz w:val="21"/>
              <w:szCs w:val="21"/>
              <w:highlight w:val="none"/>
            </w:rPr>
            <w:t xml:space="preserve"> 城镇居住空间布局</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_Toc30905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"_Toc18527" </w:instrText>
          </w:r>
          <w:r>
            <w:rPr>
              <w:highlight w:val="none"/>
            </w:rPr>
            <w:fldChar w:fldCharType="separate"/>
          </w:r>
          <w:r>
            <w:rPr>
              <w:rFonts w:hint="eastAsia" w:ascii="方正仿宋_GB2312" w:hAnsi="方正仿宋_GB2312" w:eastAsia="方正仿宋_GB2312" w:cs="方正仿宋_GB2312"/>
              <w:b/>
              <w:bCs/>
              <w:sz w:val="21"/>
              <w:szCs w:val="21"/>
              <w:highlight w:val="none"/>
            </w:rPr>
            <w:t>第32条</w:t>
          </w:r>
          <w:r>
            <w:rPr>
              <w:rFonts w:hint="eastAsia" w:ascii="方正仿宋_GB2312" w:hAnsi="方正仿宋_GB2312" w:eastAsia="方正仿宋_GB2312" w:cs="方正仿宋_GB2312"/>
              <w:sz w:val="21"/>
              <w:szCs w:val="21"/>
              <w:highlight w:val="none"/>
            </w:rPr>
            <w:t xml:space="preserve"> 乡村宅基地空间保障</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_Toc18527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"_Toc1234" </w:instrText>
          </w:r>
          <w:r>
            <w:rPr>
              <w:highlight w:val="none"/>
            </w:rPr>
            <w:fldChar w:fldCharType="separate"/>
          </w:r>
          <w:r>
            <w:rPr>
              <w:rFonts w:hint="eastAsia" w:ascii="楷体" w:hAnsi="楷体" w:eastAsia="楷体" w:cs="楷体"/>
              <w:highlight w:val="none"/>
            </w:rPr>
            <w:t>第三节 公共服务体系</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_Toc1234 \h </w:instrText>
          </w:r>
          <w:r>
            <w:rPr>
              <w:rFonts w:hint="eastAsia" w:ascii="楷体" w:hAnsi="楷体" w:eastAsia="楷体" w:cs="楷体"/>
              <w:highlight w:val="none"/>
            </w:rPr>
            <w:fldChar w:fldCharType="separate"/>
          </w:r>
          <w:r>
            <w:rPr>
              <w:rFonts w:hint="eastAsia" w:ascii="楷体" w:hAnsi="楷体" w:eastAsia="楷体" w:cs="楷体"/>
              <w:highlight w:val="none"/>
            </w:rPr>
            <w:t>34</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"_Toc14600" </w:instrText>
          </w:r>
          <w:r>
            <w:rPr>
              <w:highlight w:val="none"/>
            </w:rPr>
            <w:fldChar w:fldCharType="separate"/>
          </w:r>
          <w:r>
            <w:rPr>
              <w:rFonts w:hint="eastAsia" w:ascii="方正仿宋_GB2312" w:hAnsi="方正仿宋_GB2312" w:eastAsia="方正仿宋_GB2312" w:cs="方正仿宋_GB2312"/>
              <w:b/>
              <w:bCs/>
              <w:sz w:val="21"/>
              <w:szCs w:val="21"/>
              <w:highlight w:val="none"/>
            </w:rPr>
            <w:t>第33条</w:t>
          </w:r>
          <w:r>
            <w:rPr>
              <w:rFonts w:hint="eastAsia" w:ascii="方正仿宋_GB2312" w:hAnsi="方正仿宋_GB2312" w:eastAsia="方正仿宋_GB2312" w:cs="方正仿宋_GB2312"/>
              <w:sz w:val="21"/>
              <w:szCs w:val="21"/>
              <w:highlight w:val="none"/>
            </w:rPr>
            <w:t xml:space="preserve"> 建立公共服务中心体系</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_Toc14600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"_Toc1940" </w:instrText>
          </w:r>
          <w:r>
            <w:rPr>
              <w:highlight w:val="none"/>
            </w:rPr>
            <w:fldChar w:fldCharType="separate"/>
          </w:r>
          <w:r>
            <w:rPr>
              <w:rFonts w:hint="eastAsia" w:ascii="方正仿宋_GB2312" w:hAnsi="方正仿宋_GB2312" w:eastAsia="方正仿宋_GB2312" w:cs="方正仿宋_GB2312"/>
              <w:b/>
              <w:bCs/>
              <w:sz w:val="21"/>
              <w:szCs w:val="21"/>
              <w:highlight w:val="none"/>
            </w:rPr>
            <w:t>第34条</w:t>
          </w:r>
          <w:r>
            <w:rPr>
              <w:rFonts w:hint="eastAsia" w:ascii="方正仿宋_GB2312" w:hAnsi="方正仿宋_GB2312" w:eastAsia="方正仿宋_GB2312" w:cs="方正仿宋_GB2312"/>
              <w:sz w:val="21"/>
              <w:szCs w:val="21"/>
              <w:highlight w:val="none"/>
            </w:rPr>
            <w:t xml:space="preserve"> 构建开放共享的城乡生活圈</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_Toc1940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"_Toc781" </w:instrText>
          </w:r>
          <w:r>
            <w:rPr>
              <w:highlight w:val="none"/>
            </w:rPr>
            <w:fldChar w:fldCharType="separate"/>
          </w:r>
          <w:r>
            <w:rPr>
              <w:rFonts w:hint="eastAsia" w:ascii="方正仿宋_GB2312" w:hAnsi="方正仿宋_GB2312" w:eastAsia="方正仿宋_GB2312" w:cs="方正仿宋_GB2312"/>
              <w:b/>
              <w:bCs/>
              <w:sz w:val="21"/>
              <w:szCs w:val="21"/>
              <w:highlight w:val="none"/>
            </w:rPr>
            <w:t>第35条</w:t>
          </w:r>
          <w:r>
            <w:rPr>
              <w:rFonts w:hint="eastAsia" w:ascii="方正仿宋_GB2312" w:hAnsi="方正仿宋_GB2312" w:eastAsia="方正仿宋_GB2312" w:cs="方正仿宋_GB2312"/>
              <w:sz w:val="21"/>
              <w:szCs w:val="21"/>
              <w:highlight w:val="none"/>
            </w:rPr>
            <w:t xml:space="preserve"> 教育设施配置与空间布局</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_Toc781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"_Toc31351" </w:instrText>
          </w:r>
          <w:r>
            <w:rPr>
              <w:highlight w:val="none"/>
            </w:rPr>
            <w:fldChar w:fldCharType="separate"/>
          </w:r>
          <w:r>
            <w:rPr>
              <w:rFonts w:hint="eastAsia" w:ascii="方正仿宋_GB2312" w:hAnsi="方正仿宋_GB2312" w:eastAsia="方正仿宋_GB2312" w:cs="方正仿宋_GB2312"/>
              <w:b/>
              <w:bCs/>
              <w:sz w:val="21"/>
              <w:szCs w:val="21"/>
              <w:highlight w:val="none"/>
            </w:rPr>
            <w:t>第36条</w:t>
          </w:r>
          <w:r>
            <w:rPr>
              <w:rFonts w:hint="eastAsia" w:ascii="方正仿宋_GB2312" w:hAnsi="方正仿宋_GB2312" w:eastAsia="方正仿宋_GB2312" w:cs="方正仿宋_GB2312"/>
              <w:sz w:val="21"/>
              <w:szCs w:val="21"/>
              <w:highlight w:val="none"/>
            </w:rPr>
            <w:t xml:space="preserve"> 医疗卫生设施布局规划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_Toc31351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"_Toc14632" </w:instrText>
          </w:r>
          <w:r>
            <w:rPr>
              <w:highlight w:val="none"/>
            </w:rPr>
            <w:fldChar w:fldCharType="separate"/>
          </w:r>
          <w:r>
            <w:rPr>
              <w:rFonts w:hint="eastAsia" w:ascii="方正仿宋_GB2312" w:hAnsi="方正仿宋_GB2312" w:eastAsia="方正仿宋_GB2312" w:cs="方正仿宋_GB2312"/>
              <w:b/>
              <w:bCs/>
              <w:sz w:val="21"/>
              <w:szCs w:val="21"/>
              <w:highlight w:val="none"/>
            </w:rPr>
            <w:t>第37条</w:t>
          </w:r>
          <w:r>
            <w:rPr>
              <w:rFonts w:hint="eastAsia" w:ascii="方正仿宋_GB2312" w:hAnsi="方正仿宋_GB2312" w:eastAsia="方正仿宋_GB2312" w:cs="方正仿宋_GB2312"/>
              <w:sz w:val="21"/>
              <w:szCs w:val="21"/>
              <w:highlight w:val="none"/>
            </w:rPr>
            <w:t xml:space="preserve"> 文体设施布局规划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_Toc14632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"_Toc9977" </w:instrText>
          </w:r>
          <w:r>
            <w:rPr>
              <w:highlight w:val="none"/>
            </w:rPr>
            <w:fldChar w:fldCharType="separate"/>
          </w:r>
          <w:r>
            <w:rPr>
              <w:rFonts w:hint="eastAsia" w:ascii="方正仿宋_GB2312" w:hAnsi="方正仿宋_GB2312" w:eastAsia="方正仿宋_GB2312" w:cs="方正仿宋_GB2312"/>
              <w:b/>
              <w:bCs/>
              <w:sz w:val="21"/>
              <w:szCs w:val="21"/>
              <w:highlight w:val="none"/>
            </w:rPr>
            <w:t>第38条</w:t>
          </w:r>
          <w:r>
            <w:rPr>
              <w:rFonts w:hint="eastAsia" w:ascii="方正仿宋_GB2312" w:hAnsi="方正仿宋_GB2312" w:eastAsia="方正仿宋_GB2312" w:cs="方正仿宋_GB2312"/>
              <w:sz w:val="21"/>
              <w:szCs w:val="21"/>
              <w:highlight w:val="none"/>
            </w:rPr>
            <w:t xml:space="preserve"> 社会福利设施布局规划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_Toc9977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"_Toc21961" </w:instrText>
          </w:r>
          <w:r>
            <w:rPr>
              <w:highlight w:val="none"/>
            </w:rPr>
            <w:fldChar w:fldCharType="separate"/>
          </w:r>
          <w:r>
            <w:rPr>
              <w:rFonts w:hint="eastAsia" w:ascii="方正仿宋_GB2312" w:hAnsi="方正仿宋_GB2312" w:eastAsia="方正仿宋_GB2312" w:cs="方正仿宋_GB2312"/>
              <w:b/>
              <w:bCs/>
              <w:sz w:val="21"/>
              <w:szCs w:val="21"/>
              <w:highlight w:val="none"/>
            </w:rPr>
            <w:t>第39条</w:t>
          </w:r>
          <w:r>
            <w:rPr>
              <w:rFonts w:hint="eastAsia" w:ascii="方正仿宋_GB2312" w:hAnsi="方正仿宋_GB2312" w:eastAsia="方正仿宋_GB2312" w:cs="方正仿宋_GB2312"/>
              <w:sz w:val="21"/>
              <w:szCs w:val="21"/>
              <w:highlight w:val="none"/>
            </w:rPr>
            <w:t xml:space="preserve"> 殡葬设施布局规划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_Toc21961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highlight w:val="none"/>
            </w:rPr>
          </w:pPr>
          <w:r>
            <w:rPr>
              <w:highlight w:val="none"/>
            </w:rPr>
            <w:fldChar w:fldCharType="begin"/>
          </w:r>
          <w:r>
            <w:rPr>
              <w:highlight w:val="none"/>
            </w:rPr>
            <w:instrText xml:space="preserve"> HYPERLINK \l "_Toc16068" </w:instrText>
          </w:r>
          <w:r>
            <w:rPr>
              <w:highlight w:val="none"/>
            </w:rPr>
            <w:fldChar w:fldCharType="separate"/>
          </w:r>
          <w:r>
            <w:rPr>
              <w:rFonts w:hint="eastAsia" w:ascii="楷体" w:hAnsi="楷体" w:eastAsia="楷体" w:cs="楷体"/>
              <w:highlight w:val="none"/>
            </w:rPr>
            <w:t>第四节 蓝绿开敞空间</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_Toc16068 \h </w:instrText>
          </w:r>
          <w:r>
            <w:rPr>
              <w:rFonts w:hint="eastAsia" w:ascii="楷体" w:hAnsi="楷体" w:eastAsia="楷体" w:cs="楷体"/>
              <w:highlight w:val="none"/>
            </w:rPr>
            <w:fldChar w:fldCharType="separate"/>
          </w:r>
          <w:r>
            <w:rPr>
              <w:rFonts w:hint="eastAsia" w:ascii="楷体" w:hAnsi="楷体" w:eastAsia="楷体" w:cs="楷体"/>
              <w:highlight w:val="none"/>
            </w:rPr>
            <w:t>37</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"_Toc18690" </w:instrText>
          </w:r>
          <w:r>
            <w:rPr>
              <w:highlight w:val="none"/>
            </w:rPr>
            <w:fldChar w:fldCharType="separate"/>
          </w:r>
          <w:r>
            <w:rPr>
              <w:rFonts w:hint="eastAsia" w:ascii="方正仿宋_GB2312" w:hAnsi="方正仿宋_GB2312" w:eastAsia="方正仿宋_GB2312" w:cs="方正仿宋_GB2312"/>
              <w:b/>
              <w:bCs/>
              <w:sz w:val="21"/>
              <w:szCs w:val="21"/>
              <w:highlight w:val="none"/>
            </w:rPr>
            <w:t>第40条</w:t>
          </w:r>
          <w:r>
            <w:rPr>
              <w:rFonts w:hint="eastAsia" w:ascii="方正仿宋_GB2312" w:hAnsi="方正仿宋_GB2312" w:eastAsia="方正仿宋_GB2312" w:cs="方正仿宋_GB2312"/>
              <w:sz w:val="21"/>
              <w:szCs w:val="21"/>
              <w:highlight w:val="none"/>
            </w:rPr>
            <w:t xml:space="preserve"> 优化绿地系统布局</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_Toc18690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"_Toc10855" </w:instrText>
          </w:r>
          <w:r>
            <w:rPr>
              <w:highlight w:val="none"/>
            </w:rPr>
            <w:fldChar w:fldCharType="separate"/>
          </w:r>
          <w:r>
            <w:rPr>
              <w:rFonts w:hint="eastAsia" w:ascii="方正仿宋_GB2312" w:hAnsi="方正仿宋_GB2312" w:eastAsia="方正仿宋_GB2312" w:cs="方正仿宋_GB2312"/>
              <w:b/>
              <w:bCs/>
              <w:sz w:val="21"/>
              <w:szCs w:val="21"/>
              <w:highlight w:val="none"/>
            </w:rPr>
            <w:t>第41条</w:t>
          </w:r>
          <w:r>
            <w:rPr>
              <w:rFonts w:hint="eastAsia" w:ascii="方正仿宋_GB2312" w:hAnsi="方正仿宋_GB2312" w:eastAsia="方正仿宋_GB2312" w:cs="方正仿宋_GB2312"/>
              <w:sz w:val="21"/>
              <w:szCs w:val="21"/>
              <w:highlight w:val="none"/>
            </w:rPr>
            <w:t xml:space="preserve"> 打造滨江亲水空间</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_Toc10855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"_Toc22218" </w:instrText>
          </w:r>
          <w:r>
            <w:rPr>
              <w:highlight w:val="none"/>
            </w:rPr>
            <w:fldChar w:fldCharType="separate"/>
          </w:r>
          <w:r>
            <w:rPr>
              <w:rFonts w:hint="eastAsia" w:ascii="方正仿宋_GB2312" w:hAnsi="方正仿宋_GB2312" w:eastAsia="方正仿宋_GB2312" w:cs="方正仿宋_GB2312"/>
              <w:b/>
              <w:bCs/>
              <w:sz w:val="21"/>
              <w:szCs w:val="21"/>
              <w:highlight w:val="none"/>
            </w:rPr>
            <w:t>第42条</w:t>
          </w:r>
          <w:r>
            <w:rPr>
              <w:rFonts w:hint="eastAsia" w:ascii="方正仿宋_GB2312" w:hAnsi="方正仿宋_GB2312" w:eastAsia="方正仿宋_GB2312" w:cs="方正仿宋_GB2312"/>
              <w:sz w:val="21"/>
              <w:szCs w:val="21"/>
              <w:highlight w:val="none"/>
            </w:rPr>
            <w:t xml:space="preserve"> 构建绿美建设空间</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_Toc22218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"_Toc11549" </w:instrText>
          </w:r>
          <w:r>
            <w:rPr>
              <w:highlight w:val="none"/>
            </w:rPr>
            <w:fldChar w:fldCharType="separate"/>
          </w:r>
          <w:r>
            <w:rPr>
              <w:rFonts w:hint="eastAsia" w:ascii="楷体" w:hAnsi="楷体" w:eastAsia="楷体" w:cs="楷体"/>
              <w:highlight w:val="none"/>
            </w:rPr>
            <w:t>第五节 产业发展</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_Toc11549 \h </w:instrText>
          </w:r>
          <w:r>
            <w:rPr>
              <w:rFonts w:hint="eastAsia" w:ascii="楷体" w:hAnsi="楷体" w:eastAsia="楷体" w:cs="楷体"/>
              <w:highlight w:val="none"/>
            </w:rPr>
            <w:fldChar w:fldCharType="separate"/>
          </w:r>
          <w:r>
            <w:rPr>
              <w:rFonts w:hint="eastAsia" w:ascii="楷体" w:hAnsi="楷体" w:eastAsia="楷体" w:cs="楷体"/>
              <w:highlight w:val="none"/>
            </w:rPr>
            <w:t>39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"_Toc28704" </w:instrText>
          </w:r>
          <w:r>
            <w:rPr>
              <w:highlight w:val="none"/>
            </w:rPr>
            <w:fldChar w:fldCharType="separate"/>
          </w:r>
          <w:r>
            <w:rPr>
              <w:rFonts w:hint="eastAsia" w:ascii="方正仿宋_GB2312" w:hAnsi="方正仿宋_GB2312" w:eastAsia="方正仿宋_GB2312" w:cs="方正仿宋_GB2312"/>
              <w:b/>
              <w:bCs/>
              <w:sz w:val="21"/>
              <w:szCs w:val="21"/>
              <w:highlight w:val="none"/>
            </w:rPr>
            <w:t>第43条</w:t>
          </w:r>
          <w:r>
            <w:rPr>
              <w:rFonts w:hint="eastAsia" w:ascii="方正仿宋_GB2312" w:hAnsi="方正仿宋_GB2312" w:eastAsia="方正仿宋_GB2312" w:cs="方正仿宋_GB2312"/>
              <w:sz w:val="21"/>
              <w:szCs w:val="21"/>
              <w:highlight w:val="none"/>
            </w:rPr>
            <w:t xml:space="preserve"> 产业目标定位</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_Toc28704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"_Toc3022" </w:instrText>
          </w:r>
          <w:r>
            <w:rPr>
              <w:highlight w:val="none"/>
            </w:rPr>
            <w:fldChar w:fldCharType="separate"/>
          </w:r>
          <w:r>
            <w:rPr>
              <w:rFonts w:hint="eastAsia" w:ascii="方正仿宋_GB2312" w:hAnsi="方正仿宋_GB2312" w:eastAsia="方正仿宋_GB2312" w:cs="方正仿宋_GB2312"/>
              <w:b/>
              <w:bCs/>
              <w:sz w:val="21"/>
              <w:szCs w:val="21"/>
              <w:highlight w:val="none"/>
            </w:rPr>
            <w:t>第44条</w:t>
          </w:r>
          <w:r>
            <w:rPr>
              <w:rFonts w:hint="eastAsia" w:ascii="方正仿宋_GB2312" w:hAnsi="方正仿宋_GB2312" w:eastAsia="方正仿宋_GB2312" w:cs="方正仿宋_GB2312"/>
              <w:sz w:val="21"/>
              <w:szCs w:val="21"/>
              <w:highlight w:val="none"/>
            </w:rPr>
            <w:t xml:space="preserve"> 产业发展策略</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_Toc3022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39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"_Toc9874" </w:instrText>
          </w:r>
          <w:r>
            <w:rPr>
              <w:highlight w:val="none"/>
            </w:rPr>
            <w:fldChar w:fldCharType="separate"/>
          </w:r>
          <w:r>
            <w:rPr>
              <w:rFonts w:hint="eastAsia" w:ascii="方正仿宋_GB2312" w:hAnsi="方正仿宋_GB2312" w:eastAsia="方正仿宋_GB2312" w:cs="方正仿宋_GB2312"/>
              <w:b/>
              <w:bCs/>
              <w:sz w:val="21"/>
              <w:szCs w:val="21"/>
              <w:highlight w:val="none"/>
            </w:rPr>
            <w:t>第45条</w:t>
          </w:r>
          <w:r>
            <w:rPr>
              <w:rFonts w:hint="eastAsia" w:ascii="方正仿宋_GB2312" w:hAnsi="方正仿宋_GB2312" w:eastAsia="方正仿宋_GB2312" w:cs="方正仿宋_GB2312"/>
              <w:sz w:val="21"/>
              <w:szCs w:val="21"/>
              <w:highlight w:val="none"/>
            </w:rPr>
            <w:t xml:space="preserve"> 产业空间布局</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_Toc9874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"_Toc30989" </w:instrText>
          </w:r>
          <w:r>
            <w:rPr>
              <w:highlight w:val="none"/>
            </w:rPr>
            <w:fldChar w:fldCharType="separate"/>
          </w:r>
          <w:r>
            <w:rPr>
              <w:rFonts w:hint="eastAsia" w:ascii="方正仿宋_GB2312" w:hAnsi="方正仿宋_GB2312" w:eastAsia="方正仿宋_GB2312" w:cs="方正仿宋_GB2312"/>
              <w:b/>
              <w:bCs/>
              <w:sz w:val="21"/>
              <w:szCs w:val="21"/>
              <w:highlight w:val="none"/>
            </w:rPr>
            <w:t>第46条</w:t>
          </w:r>
          <w:r>
            <w:rPr>
              <w:rFonts w:hint="eastAsia" w:ascii="方正仿宋_GB2312" w:hAnsi="方正仿宋_GB2312" w:eastAsia="方正仿宋_GB2312" w:cs="方正仿宋_GB2312"/>
              <w:sz w:val="21"/>
              <w:szCs w:val="21"/>
              <w:highlight w:val="none"/>
            </w:rPr>
            <w:t xml:space="preserve"> 工业用地控制线</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_Toc30989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highlight w:val="none"/>
            </w:rPr>
          </w:pPr>
          <w:r>
            <w:rPr>
              <w:highlight w:val="none"/>
            </w:rPr>
            <w:fldChar w:fldCharType="begin"/>
          </w:r>
          <w:r>
            <w:rPr>
              <w:highlight w:val="none"/>
            </w:rPr>
            <w:instrText xml:space="preserve"> HYPERLINK \l "_Toc5301" </w:instrText>
          </w:r>
          <w:r>
            <w:rPr>
              <w:highlight w:val="none"/>
            </w:rPr>
            <w:fldChar w:fldCharType="separate"/>
          </w:r>
          <w:r>
            <w:rPr>
              <w:rFonts w:hint="eastAsia" w:ascii="楷体" w:hAnsi="楷体" w:eastAsia="楷体" w:cs="楷体"/>
              <w:highlight w:val="none"/>
            </w:rPr>
            <w:t>第六节 乡村振兴与村庄建设</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_Toc5301 \h </w:instrText>
          </w:r>
          <w:r>
            <w:rPr>
              <w:rFonts w:hint="eastAsia" w:ascii="楷体" w:hAnsi="楷体" w:eastAsia="楷体" w:cs="楷体"/>
              <w:highlight w:val="none"/>
            </w:rPr>
            <w:fldChar w:fldCharType="separate"/>
          </w:r>
          <w:r>
            <w:rPr>
              <w:rFonts w:hint="eastAsia" w:ascii="楷体" w:hAnsi="楷体" w:eastAsia="楷体" w:cs="楷体"/>
              <w:highlight w:val="none"/>
            </w:rPr>
            <w:t>42</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"_Toc11142" </w:instrText>
          </w:r>
          <w:r>
            <w:rPr>
              <w:highlight w:val="none"/>
            </w:rPr>
            <w:fldChar w:fldCharType="separate"/>
          </w:r>
          <w:r>
            <w:rPr>
              <w:rFonts w:hint="eastAsia" w:ascii="方正仿宋_GB2312" w:hAnsi="方正仿宋_GB2312" w:eastAsia="方正仿宋_GB2312" w:cs="方正仿宋_GB2312"/>
              <w:b/>
              <w:bCs/>
              <w:sz w:val="21"/>
              <w:szCs w:val="21"/>
              <w:highlight w:val="none"/>
            </w:rPr>
            <w:t>第47条</w:t>
          </w:r>
          <w:r>
            <w:rPr>
              <w:rFonts w:hint="eastAsia" w:ascii="方正仿宋_GB2312" w:hAnsi="方正仿宋_GB2312" w:eastAsia="方正仿宋_GB2312" w:cs="方正仿宋_GB2312"/>
              <w:sz w:val="21"/>
              <w:szCs w:val="21"/>
              <w:highlight w:val="none"/>
            </w:rPr>
            <w:t xml:space="preserve"> 落实东部疏稻种植先导区</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_Toc11142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"_Toc6521" </w:instrText>
          </w:r>
          <w:r>
            <w:rPr>
              <w:highlight w:val="none"/>
            </w:rPr>
            <w:fldChar w:fldCharType="separate"/>
          </w:r>
          <w:r>
            <w:rPr>
              <w:rFonts w:hint="eastAsia" w:ascii="方正仿宋_GB2312" w:hAnsi="方正仿宋_GB2312" w:eastAsia="方正仿宋_GB2312" w:cs="方正仿宋_GB2312"/>
              <w:b/>
              <w:bCs/>
              <w:sz w:val="21"/>
              <w:szCs w:val="21"/>
              <w:highlight w:val="none"/>
            </w:rPr>
            <w:t>第48条</w:t>
          </w:r>
          <w:r>
            <w:rPr>
              <w:rFonts w:hint="eastAsia" w:ascii="方正仿宋_GB2312" w:hAnsi="方正仿宋_GB2312" w:eastAsia="方正仿宋_GB2312" w:cs="方正仿宋_GB2312"/>
              <w:sz w:val="21"/>
              <w:szCs w:val="21"/>
              <w:highlight w:val="none"/>
            </w:rPr>
            <w:t xml:space="preserve"> 优化村庄建设用地布局</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_Toc6521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"_Toc5085" </w:instrText>
          </w:r>
          <w:r>
            <w:rPr>
              <w:highlight w:val="none"/>
            </w:rPr>
            <w:fldChar w:fldCharType="separate"/>
          </w:r>
          <w:r>
            <w:rPr>
              <w:rFonts w:hint="eastAsia" w:ascii="方正仿宋_GB2312" w:hAnsi="方正仿宋_GB2312" w:eastAsia="方正仿宋_GB2312" w:cs="方正仿宋_GB2312"/>
              <w:b/>
              <w:bCs/>
              <w:sz w:val="21"/>
              <w:szCs w:val="21"/>
              <w:highlight w:val="none"/>
            </w:rPr>
            <w:t>第49条</w:t>
          </w:r>
          <w:r>
            <w:rPr>
              <w:rFonts w:hint="eastAsia" w:ascii="方正仿宋_GB2312" w:hAnsi="方正仿宋_GB2312" w:eastAsia="方正仿宋_GB2312" w:cs="方正仿宋_GB2312"/>
              <w:sz w:val="21"/>
              <w:szCs w:val="21"/>
              <w:highlight w:val="none"/>
            </w:rPr>
            <w:t xml:space="preserve"> 保障乡村振兴用地需求</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_Toc5085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"_Toc27817" </w:instrText>
          </w:r>
          <w:r>
            <w:rPr>
              <w:highlight w:val="none"/>
            </w:rPr>
            <w:fldChar w:fldCharType="separate"/>
          </w:r>
          <w:r>
            <w:rPr>
              <w:rFonts w:hint="eastAsia" w:ascii="方正仿宋_GB2312" w:hAnsi="方正仿宋_GB2312" w:eastAsia="方正仿宋_GB2312" w:cs="方正仿宋_GB2312"/>
              <w:b/>
              <w:bCs/>
              <w:sz w:val="21"/>
              <w:szCs w:val="21"/>
              <w:highlight w:val="none"/>
            </w:rPr>
            <w:t>第50条</w:t>
          </w:r>
          <w:r>
            <w:rPr>
              <w:rFonts w:hint="eastAsia" w:ascii="方正仿宋_GB2312" w:hAnsi="方正仿宋_GB2312" w:eastAsia="方正仿宋_GB2312" w:cs="方正仿宋_GB2312"/>
              <w:sz w:val="21"/>
              <w:szCs w:val="21"/>
              <w:highlight w:val="none"/>
            </w:rPr>
            <w:t xml:space="preserve"> 塑造乡村特色景观风貌</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_Toc27817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"_Toc3149" </w:instrText>
          </w:r>
          <w:r>
            <w:rPr>
              <w:highlight w:val="none"/>
            </w:rPr>
            <w:fldChar w:fldCharType="separate"/>
          </w:r>
          <w:r>
            <w:rPr>
              <w:rFonts w:hint="eastAsia" w:ascii="方正仿宋_GB2312" w:hAnsi="方正仿宋_GB2312" w:eastAsia="方正仿宋_GB2312" w:cs="方正仿宋_GB2312"/>
              <w:b/>
              <w:bCs/>
              <w:sz w:val="21"/>
              <w:szCs w:val="21"/>
              <w:highlight w:val="none"/>
            </w:rPr>
            <w:t>第51条</w:t>
          </w:r>
          <w:r>
            <w:rPr>
              <w:rFonts w:hint="eastAsia" w:ascii="方正仿宋_GB2312" w:hAnsi="方正仿宋_GB2312" w:eastAsia="方正仿宋_GB2312" w:cs="方正仿宋_GB2312"/>
              <w:sz w:val="21"/>
              <w:szCs w:val="21"/>
              <w:highlight w:val="none"/>
            </w:rPr>
            <w:t xml:space="preserve"> 存量未使用地的腾挪</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_Toc3149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"_Toc27000" </w:instrText>
          </w:r>
          <w:r>
            <w:rPr>
              <w:highlight w:val="none"/>
            </w:rPr>
            <w:fldChar w:fldCharType="separate"/>
          </w:r>
          <w:r>
            <w:rPr>
              <w:rFonts w:hint="eastAsia" w:ascii="楷体" w:hAnsi="楷体" w:eastAsia="楷体" w:cs="楷体"/>
              <w:highlight w:val="none"/>
            </w:rPr>
            <w:t>第七节 历史文化保护</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_Toc27000 \h </w:instrText>
          </w:r>
          <w:r>
            <w:rPr>
              <w:rFonts w:hint="eastAsia" w:ascii="楷体" w:hAnsi="楷体" w:eastAsia="楷体" w:cs="楷体"/>
              <w:highlight w:val="none"/>
            </w:rPr>
            <w:fldChar w:fldCharType="separate"/>
          </w:r>
          <w:r>
            <w:rPr>
              <w:rFonts w:hint="eastAsia" w:ascii="楷体" w:hAnsi="楷体" w:eastAsia="楷体" w:cs="楷体"/>
              <w:highlight w:val="none"/>
            </w:rPr>
            <w:t>44</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"_Toc12069" </w:instrText>
          </w:r>
          <w:r>
            <w:rPr>
              <w:highlight w:val="none"/>
            </w:rPr>
            <w:fldChar w:fldCharType="separate"/>
          </w:r>
          <w:r>
            <w:rPr>
              <w:rFonts w:hint="eastAsia" w:ascii="方正仿宋_GB2312" w:hAnsi="方正仿宋_GB2312" w:eastAsia="方正仿宋_GB2312" w:cs="方正仿宋_GB2312"/>
              <w:b/>
              <w:bCs/>
              <w:sz w:val="21"/>
              <w:szCs w:val="21"/>
              <w:highlight w:val="none"/>
            </w:rPr>
            <w:t>第52条</w:t>
          </w:r>
          <w:r>
            <w:rPr>
              <w:rFonts w:hint="eastAsia" w:ascii="方正仿宋_GB2312" w:hAnsi="方正仿宋_GB2312" w:eastAsia="方正仿宋_GB2312" w:cs="方正仿宋_GB2312"/>
              <w:sz w:val="21"/>
              <w:szCs w:val="21"/>
              <w:highlight w:val="none"/>
            </w:rPr>
            <w:t xml:space="preserve"> 加强对历史文化资源的整体保护</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_Toc12069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"_Toc21056" </w:instrText>
          </w:r>
          <w:r>
            <w:rPr>
              <w:highlight w:val="none"/>
            </w:rPr>
            <w:fldChar w:fldCharType="separate"/>
          </w:r>
          <w:r>
            <w:rPr>
              <w:rFonts w:hint="eastAsia" w:ascii="方正仿宋_GB2312" w:hAnsi="方正仿宋_GB2312" w:eastAsia="方正仿宋_GB2312" w:cs="方正仿宋_GB2312"/>
              <w:b/>
              <w:bCs/>
              <w:sz w:val="21"/>
              <w:szCs w:val="21"/>
              <w:highlight w:val="none"/>
            </w:rPr>
            <w:t>第53条</w:t>
          </w:r>
          <w:r>
            <w:rPr>
              <w:rFonts w:hint="eastAsia" w:ascii="方正仿宋_GB2312" w:hAnsi="方正仿宋_GB2312" w:eastAsia="方正仿宋_GB2312" w:cs="方正仿宋_GB2312"/>
              <w:sz w:val="21"/>
              <w:szCs w:val="21"/>
              <w:highlight w:val="none"/>
            </w:rPr>
            <w:t xml:space="preserve"> 活化利用历史文化保护资源</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_Toc21056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"_Toc10617" </w:instrText>
          </w:r>
          <w:r>
            <w:rPr>
              <w:highlight w:val="none"/>
            </w:rPr>
            <w:fldChar w:fldCharType="separate"/>
          </w:r>
          <w:r>
            <w:rPr>
              <w:rFonts w:hint="eastAsia" w:ascii="方正仿宋_GB2312" w:hAnsi="方正仿宋_GB2312" w:eastAsia="方正仿宋_GB2312" w:cs="方正仿宋_GB2312"/>
              <w:b/>
              <w:bCs/>
              <w:sz w:val="21"/>
              <w:szCs w:val="21"/>
              <w:highlight w:val="none"/>
            </w:rPr>
            <w:t>第54条</w:t>
          </w:r>
          <w:r>
            <w:rPr>
              <w:rFonts w:hint="eastAsia" w:ascii="方正仿宋_GB2312" w:hAnsi="方正仿宋_GB2312" w:eastAsia="方正仿宋_GB2312" w:cs="方正仿宋_GB2312"/>
              <w:sz w:val="21"/>
              <w:szCs w:val="21"/>
              <w:highlight w:val="none"/>
            </w:rPr>
            <w:t xml:space="preserve"> 划定历史文化保护线</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_Toc10617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"_Toc19301" </w:instrText>
          </w:r>
          <w:r>
            <w:rPr>
              <w:highlight w:val="none"/>
            </w:rPr>
            <w:fldChar w:fldCharType="separate"/>
          </w:r>
          <w:r>
            <w:rPr>
              <w:rFonts w:hint="eastAsia" w:ascii="黑体" w:hAnsi="黑体" w:eastAsia="黑体" w:cs="黑体"/>
              <w:sz w:val="28"/>
              <w:szCs w:val="28"/>
              <w:highlight w:val="none"/>
            </w:rPr>
            <w:t>第七章 基础设施支撑体系</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_Toc19301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47</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"_Toc29518" </w:instrText>
          </w:r>
          <w:r>
            <w:rPr>
              <w:highlight w:val="none"/>
            </w:rPr>
            <w:fldChar w:fldCharType="separate"/>
          </w:r>
          <w:r>
            <w:rPr>
              <w:rFonts w:hint="eastAsia" w:ascii="楷体" w:hAnsi="楷体" w:eastAsia="楷体" w:cs="楷体"/>
              <w:highlight w:val="none"/>
            </w:rPr>
            <w:t>第一节 综合交通网络</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_Toc29518 \h </w:instrText>
          </w:r>
          <w:r>
            <w:rPr>
              <w:rFonts w:hint="eastAsia" w:ascii="楷体" w:hAnsi="楷体" w:eastAsia="楷体" w:cs="楷体"/>
              <w:highlight w:val="none"/>
            </w:rPr>
            <w:fldChar w:fldCharType="separate"/>
          </w:r>
          <w:r>
            <w:rPr>
              <w:rFonts w:hint="eastAsia" w:ascii="楷体" w:hAnsi="楷体" w:eastAsia="楷体" w:cs="楷体"/>
              <w:highlight w:val="none"/>
            </w:rPr>
            <w:t>47</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"_Toc1339"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第55条 </w:t>
          </w:r>
          <w:r>
            <w:rPr>
              <w:rFonts w:hint="eastAsia" w:ascii="方正仿宋_GB2312" w:hAnsi="方正仿宋_GB2312" w:eastAsia="方正仿宋_GB2312" w:cs="方正仿宋_GB2312"/>
              <w:sz w:val="21"/>
              <w:szCs w:val="21"/>
              <w:highlight w:val="none"/>
            </w:rPr>
            <w:t>交通发展目标</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_Toc1339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"_Toc23145" </w:instrText>
          </w:r>
          <w:r>
            <w:rPr>
              <w:highlight w:val="none"/>
            </w:rPr>
            <w:fldChar w:fldCharType="separate"/>
          </w:r>
          <w:r>
            <w:rPr>
              <w:rFonts w:hint="eastAsia" w:ascii="方正仿宋_GB2312" w:hAnsi="方正仿宋_GB2312" w:eastAsia="方正仿宋_GB2312" w:cs="方正仿宋_GB2312"/>
              <w:b/>
              <w:bCs/>
              <w:sz w:val="21"/>
              <w:szCs w:val="21"/>
              <w:highlight w:val="none"/>
            </w:rPr>
            <w:t>第56条</w:t>
          </w:r>
          <w:r>
            <w:rPr>
              <w:rFonts w:hint="eastAsia" w:ascii="方正仿宋_GB2312" w:hAnsi="方正仿宋_GB2312" w:eastAsia="方正仿宋_GB2312" w:cs="方正仿宋_GB2312"/>
              <w:sz w:val="21"/>
              <w:szCs w:val="21"/>
              <w:highlight w:val="none"/>
            </w:rPr>
            <w:t xml:space="preserve"> 公路交通系统规划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_Toc23145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"_Toc562" </w:instrText>
          </w:r>
          <w:r>
            <w:rPr>
              <w:highlight w:val="none"/>
            </w:rPr>
            <w:fldChar w:fldCharType="separate"/>
          </w:r>
          <w:r>
            <w:rPr>
              <w:rFonts w:hint="eastAsia" w:ascii="方正仿宋_GB2312" w:hAnsi="方正仿宋_GB2312" w:eastAsia="方正仿宋_GB2312" w:cs="方正仿宋_GB2312"/>
              <w:b/>
              <w:bCs/>
              <w:sz w:val="21"/>
              <w:szCs w:val="21"/>
              <w:highlight w:val="none"/>
            </w:rPr>
            <w:t>第57条</w:t>
          </w:r>
          <w:r>
            <w:rPr>
              <w:rFonts w:hint="eastAsia" w:ascii="方正仿宋_GB2312" w:hAnsi="方正仿宋_GB2312" w:eastAsia="方正仿宋_GB2312" w:cs="方正仿宋_GB2312"/>
              <w:sz w:val="21"/>
              <w:szCs w:val="21"/>
              <w:highlight w:val="none"/>
            </w:rPr>
            <w:t xml:space="preserve"> 乡村道路系统规划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_Toc562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"_Toc31822" </w:instrText>
          </w:r>
          <w:r>
            <w:rPr>
              <w:highlight w:val="none"/>
            </w:rPr>
            <w:fldChar w:fldCharType="separate"/>
          </w:r>
          <w:r>
            <w:rPr>
              <w:rFonts w:hint="eastAsia" w:ascii="方正仿宋_GB2312" w:hAnsi="方正仿宋_GB2312" w:eastAsia="方正仿宋_GB2312" w:cs="方正仿宋_GB2312"/>
              <w:b/>
              <w:bCs/>
              <w:sz w:val="21"/>
              <w:szCs w:val="21"/>
              <w:highlight w:val="none"/>
            </w:rPr>
            <w:t>第58条</w:t>
          </w:r>
          <w:r>
            <w:rPr>
              <w:rFonts w:hint="eastAsia" w:ascii="方正仿宋_GB2312" w:hAnsi="方正仿宋_GB2312" w:eastAsia="方正仿宋_GB2312" w:cs="方正仿宋_GB2312"/>
              <w:sz w:val="21"/>
              <w:szCs w:val="21"/>
              <w:highlight w:val="none"/>
            </w:rPr>
            <w:t xml:space="preserve"> 交通设施布局规划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_Toc31822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"_Toc17220" </w:instrText>
          </w:r>
          <w:r>
            <w:rPr>
              <w:highlight w:val="none"/>
            </w:rPr>
            <w:fldChar w:fldCharType="separate"/>
          </w:r>
          <w:r>
            <w:rPr>
              <w:rFonts w:hint="eastAsia" w:ascii="方正仿宋_GB2312" w:hAnsi="方正仿宋_GB2312" w:eastAsia="方正仿宋_GB2312" w:cs="方正仿宋_GB2312"/>
              <w:b/>
              <w:bCs/>
              <w:sz w:val="21"/>
              <w:szCs w:val="21"/>
              <w:highlight w:val="none"/>
            </w:rPr>
            <w:t>第59条</w:t>
          </w:r>
          <w:r>
            <w:rPr>
              <w:rFonts w:hint="eastAsia" w:ascii="方正仿宋_GB2312" w:hAnsi="方正仿宋_GB2312" w:eastAsia="方正仿宋_GB2312" w:cs="方正仿宋_GB2312"/>
              <w:sz w:val="21"/>
              <w:szCs w:val="21"/>
              <w:highlight w:val="none"/>
            </w:rPr>
            <w:t xml:space="preserve"> 强化绿色交通</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_Toc17220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"_Toc29037" </w:instrText>
          </w:r>
          <w:r>
            <w:rPr>
              <w:highlight w:val="none"/>
            </w:rPr>
            <w:fldChar w:fldCharType="separate"/>
          </w:r>
          <w:r>
            <w:rPr>
              <w:rFonts w:hint="eastAsia" w:ascii="楷体" w:hAnsi="楷体" w:eastAsia="楷体" w:cs="楷体"/>
              <w:highlight w:val="none"/>
            </w:rPr>
            <w:t>第二节 基础设施体系</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_Toc29037 \h </w:instrText>
          </w:r>
          <w:r>
            <w:rPr>
              <w:rFonts w:hint="eastAsia" w:ascii="楷体" w:hAnsi="楷体" w:eastAsia="楷体" w:cs="楷体"/>
              <w:highlight w:val="none"/>
            </w:rPr>
            <w:fldChar w:fldCharType="separate"/>
          </w:r>
          <w:r>
            <w:rPr>
              <w:rFonts w:hint="eastAsia" w:ascii="楷体" w:hAnsi="楷体" w:eastAsia="楷体" w:cs="楷体"/>
              <w:highlight w:val="none"/>
            </w:rPr>
            <w:t>48</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"_Toc13566"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第60条 </w:t>
          </w:r>
          <w:r>
            <w:rPr>
              <w:rFonts w:hint="eastAsia" w:ascii="方正仿宋_GB2312" w:hAnsi="方正仿宋_GB2312" w:eastAsia="方正仿宋_GB2312" w:cs="方正仿宋_GB2312"/>
              <w:sz w:val="21"/>
              <w:szCs w:val="21"/>
              <w:highlight w:val="none"/>
            </w:rPr>
            <w:t>给水工程规划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_Toc13566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方正仿宋_GB2312" w:hAnsi="方正仿宋_GB2312" w:eastAsia="方正仿宋_GB2312" w:cs="方正仿宋_GB2312"/>
              <w:b/>
              <w:bCs/>
              <w:sz w:val="21"/>
              <w:szCs w:val="21"/>
              <w:highlight w:val="none"/>
            </w:rPr>
            <w:t>第61条</w:t>
          </w:r>
          <w:r>
            <w:rPr>
              <w:rFonts w:hint="eastAsia" w:ascii="方正仿宋_GB2312" w:hAnsi="方正仿宋_GB2312" w:eastAsia="方正仿宋_GB2312" w:cs="方正仿宋_GB2312"/>
              <w:sz w:val="21"/>
              <w:szCs w:val="21"/>
              <w:highlight w:val="none"/>
            </w:rPr>
            <w:t xml:space="preserve"> 污水工程规划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_Toc15000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"_Toc18838" </w:instrText>
          </w:r>
          <w:r>
            <w:rPr>
              <w:highlight w:val="none"/>
            </w:rPr>
            <w:fldChar w:fldCharType="separate"/>
          </w:r>
          <w:r>
            <w:rPr>
              <w:rFonts w:hint="eastAsia" w:ascii="方正仿宋_GB2312" w:hAnsi="方正仿宋_GB2312" w:eastAsia="方正仿宋_GB2312" w:cs="方正仿宋_GB2312"/>
              <w:b/>
              <w:bCs/>
              <w:sz w:val="21"/>
              <w:szCs w:val="21"/>
              <w:highlight w:val="none"/>
            </w:rPr>
            <w:t>第62条</w:t>
          </w:r>
          <w:r>
            <w:rPr>
              <w:rFonts w:hint="eastAsia" w:ascii="方正仿宋_GB2312" w:hAnsi="方正仿宋_GB2312" w:eastAsia="方正仿宋_GB2312" w:cs="方正仿宋_GB2312"/>
              <w:sz w:val="21"/>
              <w:szCs w:val="21"/>
              <w:highlight w:val="none"/>
            </w:rPr>
            <w:t xml:space="preserve"> 雨水工程规划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_Toc18838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49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"_Toc19244"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第63条 </w:t>
          </w:r>
          <w:r>
            <w:rPr>
              <w:rFonts w:hint="eastAsia" w:ascii="方正仿宋_GB2312" w:hAnsi="方正仿宋_GB2312" w:eastAsia="方正仿宋_GB2312" w:cs="方正仿宋_GB2312"/>
              <w:sz w:val="21"/>
              <w:szCs w:val="21"/>
              <w:highlight w:val="none"/>
            </w:rPr>
            <w:t>电力工程规划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_Toc19244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"_Toc20714" </w:instrText>
          </w:r>
          <w:r>
            <w:rPr>
              <w:highlight w:val="none"/>
            </w:rPr>
            <w:fldChar w:fldCharType="separate"/>
          </w:r>
          <w:r>
            <w:rPr>
              <w:rFonts w:hint="eastAsia" w:ascii="方正仿宋_GB2312" w:hAnsi="方正仿宋_GB2312" w:eastAsia="方正仿宋_GB2312" w:cs="方正仿宋_GB2312"/>
              <w:b/>
              <w:bCs/>
              <w:sz w:val="21"/>
              <w:szCs w:val="21"/>
              <w:highlight w:val="none"/>
            </w:rPr>
            <w:t>第64条</w:t>
          </w:r>
          <w:r>
            <w:rPr>
              <w:rFonts w:hint="eastAsia" w:ascii="方正仿宋_GB2312" w:hAnsi="方正仿宋_GB2312" w:eastAsia="方正仿宋_GB2312" w:cs="方正仿宋_GB2312"/>
              <w:sz w:val="21"/>
              <w:szCs w:val="21"/>
              <w:highlight w:val="none"/>
            </w:rPr>
            <w:t xml:space="preserve"> 通信工程规划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_Toc20714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"_Toc7581"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第65条 </w:t>
          </w:r>
          <w:r>
            <w:rPr>
              <w:rFonts w:hint="eastAsia" w:ascii="方正仿宋_GB2312" w:hAnsi="方正仿宋_GB2312" w:eastAsia="方正仿宋_GB2312" w:cs="方正仿宋_GB2312"/>
              <w:sz w:val="21"/>
              <w:szCs w:val="21"/>
              <w:highlight w:val="none"/>
            </w:rPr>
            <w:t>燃气工程规划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_Toc7581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"_Toc25962" </w:instrText>
          </w:r>
          <w:r>
            <w:rPr>
              <w:highlight w:val="none"/>
            </w:rPr>
            <w:fldChar w:fldCharType="separate"/>
          </w:r>
          <w:r>
            <w:rPr>
              <w:rFonts w:hint="eastAsia" w:ascii="方正仿宋_GB2312" w:hAnsi="方正仿宋_GB2312" w:eastAsia="方正仿宋_GB2312" w:cs="方正仿宋_GB2312"/>
              <w:b/>
              <w:bCs/>
              <w:sz w:val="21"/>
              <w:szCs w:val="21"/>
              <w:highlight w:val="none"/>
            </w:rPr>
            <w:t>第66条</w:t>
          </w:r>
          <w:r>
            <w:rPr>
              <w:rFonts w:hint="eastAsia" w:ascii="方正仿宋_GB2312" w:hAnsi="方正仿宋_GB2312" w:eastAsia="方正仿宋_GB2312" w:cs="方正仿宋_GB2312"/>
              <w:sz w:val="21"/>
              <w:szCs w:val="21"/>
              <w:highlight w:val="none"/>
            </w:rPr>
            <w:t xml:space="preserve"> 环卫工程规划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_Toc25962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"_Toc27971" </w:instrText>
          </w:r>
          <w:r>
            <w:rPr>
              <w:highlight w:val="none"/>
            </w:rPr>
            <w:fldChar w:fldCharType="separate"/>
          </w:r>
          <w:r>
            <w:rPr>
              <w:rFonts w:hint="eastAsia" w:ascii="楷体" w:hAnsi="楷体" w:eastAsia="楷体" w:cs="楷体"/>
              <w:highlight w:val="none"/>
            </w:rPr>
            <w:t>第三节 韧性安全与防灾减灾体系</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_Toc27971 \h </w:instrText>
          </w:r>
          <w:r>
            <w:rPr>
              <w:rFonts w:hint="eastAsia" w:ascii="楷体" w:hAnsi="楷体" w:eastAsia="楷体" w:cs="楷体"/>
              <w:highlight w:val="none"/>
            </w:rPr>
            <w:fldChar w:fldCharType="separate"/>
          </w:r>
          <w:r>
            <w:rPr>
              <w:rFonts w:hint="eastAsia" w:ascii="楷体" w:hAnsi="楷体" w:eastAsia="楷体" w:cs="楷体"/>
              <w:highlight w:val="none"/>
            </w:rPr>
            <w:t>52</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"_Toc15657" </w:instrText>
          </w:r>
          <w:r>
            <w:rPr>
              <w:highlight w:val="none"/>
            </w:rPr>
            <w:fldChar w:fldCharType="separate"/>
          </w:r>
          <w:r>
            <w:rPr>
              <w:rFonts w:hint="eastAsia" w:ascii="方正仿宋_GB2312" w:hAnsi="方正仿宋_GB2312" w:eastAsia="方正仿宋_GB2312" w:cs="方正仿宋_GB2312"/>
              <w:b/>
              <w:bCs/>
              <w:sz w:val="21"/>
              <w:szCs w:val="21"/>
              <w:highlight w:val="none"/>
            </w:rPr>
            <w:t>第67条</w:t>
          </w:r>
          <w:r>
            <w:rPr>
              <w:rFonts w:hint="eastAsia" w:ascii="方正仿宋_GB2312" w:hAnsi="方正仿宋_GB2312" w:eastAsia="方正仿宋_GB2312" w:cs="方正仿宋_GB2312"/>
              <w:sz w:val="21"/>
              <w:szCs w:val="21"/>
              <w:highlight w:val="none"/>
            </w:rPr>
            <w:t xml:space="preserve"> 防洪排涝规划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_Toc15657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"_Toc18323" </w:instrText>
          </w:r>
          <w:r>
            <w:rPr>
              <w:highlight w:val="none"/>
            </w:rPr>
            <w:fldChar w:fldCharType="separate"/>
          </w:r>
          <w:r>
            <w:rPr>
              <w:rFonts w:hint="eastAsia" w:ascii="方正仿宋_GB2312" w:hAnsi="方正仿宋_GB2312" w:eastAsia="方正仿宋_GB2312" w:cs="方正仿宋_GB2312"/>
              <w:b/>
              <w:bCs/>
              <w:sz w:val="21"/>
              <w:szCs w:val="21"/>
              <w:highlight w:val="none"/>
            </w:rPr>
            <w:t>第68条</w:t>
          </w:r>
          <w:r>
            <w:rPr>
              <w:rFonts w:hint="eastAsia" w:ascii="方正仿宋_GB2312" w:hAnsi="方正仿宋_GB2312" w:eastAsia="方正仿宋_GB2312" w:cs="方正仿宋_GB2312"/>
              <w:sz w:val="21"/>
              <w:szCs w:val="21"/>
              <w:highlight w:val="none"/>
            </w:rPr>
            <w:t xml:space="preserve"> 消防规划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_Toc18323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"_Toc26802" </w:instrText>
          </w:r>
          <w:r>
            <w:rPr>
              <w:highlight w:val="none"/>
            </w:rPr>
            <w:fldChar w:fldCharType="separate"/>
          </w:r>
          <w:r>
            <w:rPr>
              <w:rFonts w:hint="eastAsia" w:ascii="方正仿宋_GB2312" w:hAnsi="方正仿宋_GB2312" w:eastAsia="方正仿宋_GB2312" w:cs="方正仿宋_GB2312"/>
              <w:b/>
              <w:bCs/>
              <w:sz w:val="21"/>
              <w:szCs w:val="21"/>
              <w:highlight w:val="none"/>
            </w:rPr>
            <w:t>第69条</w:t>
          </w:r>
          <w:r>
            <w:rPr>
              <w:rFonts w:hint="eastAsia" w:ascii="方正仿宋_GB2312" w:hAnsi="方正仿宋_GB2312" w:eastAsia="方正仿宋_GB2312" w:cs="方正仿宋_GB2312"/>
              <w:sz w:val="21"/>
              <w:szCs w:val="21"/>
              <w:highlight w:val="none"/>
            </w:rPr>
            <w:t xml:space="preserve"> 地质灾害防治规划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_Toc26802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"_Toc30767" </w:instrText>
          </w:r>
          <w:r>
            <w:rPr>
              <w:highlight w:val="none"/>
            </w:rPr>
            <w:fldChar w:fldCharType="separate"/>
          </w:r>
          <w:r>
            <w:rPr>
              <w:rFonts w:hint="eastAsia" w:ascii="方正仿宋_GB2312" w:hAnsi="方正仿宋_GB2312" w:eastAsia="方正仿宋_GB2312" w:cs="方正仿宋_GB2312"/>
              <w:b/>
              <w:bCs/>
              <w:sz w:val="21"/>
              <w:szCs w:val="21"/>
              <w:highlight w:val="none"/>
            </w:rPr>
            <w:t>第70条</w:t>
          </w:r>
          <w:r>
            <w:rPr>
              <w:rFonts w:hint="eastAsia" w:ascii="方正仿宋_GB2312" w:hAnsi="方正仿宋_GB2312" w:eastAsia="方正仿宋_GB2312" w:cs="方正仿宋_GB2312"/>
              <w:sz w:val="21"/>
              <w:szCs w:val="21"/>
              <w:highlight w:val="none"/>
            </w:rPr>
            <w:t xml:space="preserve"> 人防规划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_Toc30767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"_Toc5463" </w:instrText>
          </w:r>
          <w:r>
            <w:rPr>
              <w:highlight w:val="none"/>
            </w:rPr>
            <w:fldChar w:fldCharType="separate"/>
          </w:r>
          <w:r>
            <w:rPr>
              <w:rFonts w:hint="eastAsia" w:ascii="方正仿宋_GB2312" w:hAnsi="方正仿宋_GB2312" w:eastAsia="方正仿宋_GB2312" w:cs="方正仿宋_GB2312"/>
              <w:b/>
              <w:bCs/>
              <w:sz w:val="21"/>
              <w:szCs w:val="21"/>
              <w:highlight w:val="none"/>
            </w:rPr>
            <w:t>第71条</w:t>
          </w:r>
          <w:r>
            <w:rPr>
              <w:rFonts w:hint="eastAsia" w:ascii="方正仿宋_GB2312" w:hAnsi="方正仿宋_GB2312" w:eastAsia="方正仿宋_GB2312" w:cs="方正仿宋_GB2312"/>
              <w:sz w:val="21"/>
              <w:szCs w:val="21"/>
              <w:highlight w:val="none"/>
            </w:rPr>
            <w:t xml:space="preserve"> 抗震规划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_Toc5463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"_Toc11893"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第72条 </w:t>
          </w:r>
          <w:r>
            <w:rPr>
              <w:rFonts w:hint="eastAsia" w:ascii="方正仿宋_GB2312" w:hAnsi="方正仿宋_GB2312" w:eastAsia="方正仿宋_GB2312" w:cs="方正仿宋_GB2312"/>
              <w:sz w:val="21"/>
              <w:szCs w:val="21"/>
              <w:highlight w:val="none"/>
            </w:rPr>
            <w:t>提升公共安全应急能力</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_Toc11893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"_Toc22282" </w:instrText>
          </w:r>
          <w:r>
            <w:rPr>
              <w:highlight w:val="none"/>
            </w:rPr>
            <w:fldChar w:fldCharType="separate"/>
          </w:r>
          <w:r>
            <w:rPr>
              <w:rFonts w:hint="eastAsia" w:ascii="方正仿宋_GB2312" w:hAnsi="方正仿宋_GB2312" w:eastAsia="方正仿宋_GB2312" w:cs="方正仿宋_GB2312"/>
              <w:b/>
              <w:bCs/>
              <w:sz w:val="21"/>
              <w:szCs w:val="21"/>
              <w:highlight w:val="none"/>
            </w:rPr>
            <w:t>第73条</w:t>
          </w:r>
          <w:r>
            <w:rPr>
              <w:rFonts w:hint="eastAsia" w:ascii="方正仿宋_GB2312" w:hAnsi="方正仿宋_GB2312" w:eastAsia="方正仿宋_GB2312" w:cs="方正仿宋_GB2312"/>
              <w:sz w:val="21"/>
              <w:szCs w:val="21"/>
              <w:highlight w:val="none"/>
            </w:rPr>
            <w:t xml:space="preserve"> 危险化学品管控</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_Toc22282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"_Toc28781" </w:instrText>
          </w:r>
          <w:r>
            <w:rPr>
              <w:highlight w:val="none"/>
            </w:rPr>
            <w:fldChar w:fldCharType="separate"/>
          </w:r>
          <w:r>
            <w:rPr>
              <w:rFonts w:hint="eastAsia" w:ascii="方正仿宋_GB2312" w:hAnsi="方正仿宋_GB2312" w:eastAsia="方正仿宋_GB2312" w:cs="方正仿宋_GB2312"/>
              <w:b/>
              <w:bCs/>
              <w:sz w:val="21"/>
              <w:szCs w:val="21"/>
              <w:highlight w:val="none"/>
            </w:rPr>
            <w:t>第74条</w:t>
          </w:r>
          <w:r>
            <w:rPr>
              <w:rFonts w:hint="eastAsia" w:ascii="方正仿宋_GB2312" w:hAnsi="方正仿宋_GB2312" w:eastAsia="方正仿宋_GB2312" w:cs="方正仿宋_GB2312"/>
              <w:sz w:val="21"/>
              <w:szCs w:val="21"/>
              <w:highlight w:val="none"/>
            </w:rPr>
            <w:t xml:space="preserve"> 落实化工园区安全控制线</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_Toc28781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"_Toc24076" </w:instrText>
          </w:r>
          <w:r>
            <w:rPr>
              <w:highlight w:val="none"/>
            </w:rPr>
            <w:fldChar w:fldCharType="separate"/>
          </w:r>
          <w:r>
            <w:rPr>
              <w:rFonts w:hint="eastAsia" w:ascii="黑体" w:hAnsi="黑体" w:eastAsia="黑体" w:cs="黑体"/>
              <w:sz w:val="28"/>
              <w:szCs w:val="28"/>
              <w:highlight w:val="none"/>
            </w:rPr>
            <w:t>第八章 国土修复整治与存量更新</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_Toc24076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58</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0"/>
            <w:tabs>
              <w:tab w:val="right" w:leader="dot" w:pos="8306"/>
              <w:tab w:val="clear" w:pos="8296"/>
            </w:tabs>
            <w:ind w:firstLine="0" w:firstLineChars="0"/>
            <w:rPr>
              <w:highlight w:val="none"/>
            </w:rPr>
          </w:pPr>
          <w:r>
            <w:rPr>
              <w:highlight w:val="none"/>
            </w:rPr>
            <w:fldChar w:fldCharType="begin"/>
          </w:r>
          <w:r>
            <w:rPr>
              <w:highlight w:val="none"/>
            </w:rPr>
            <w:instrText xml:space="preserve"> HYPERLINK \l "_Toc20043" </w:instrText>
          </w:r>
          <w:r>
            <w:rPr>
              <w:highlight w:val="none"/>
            </w:rPr>
            <w:fldChar w:fldCharType="separate"/>
          </w:r>
          <w:r>
            <w:rPr>
              <w:rFonts w:hint="eastAsia" w:ascii="楷体" w:hAnsi="楷体" w:eastAsia="楷体" w:cs="楷体"/>
              <w:highlight w:val="none"/>
            </w:rPr>
            <w:t>第一节 开展生态系统修复</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_Toc20043 \h </w:instrText>
          </w:r>
          <w:r>
            <w:rPr>
              <w:rFonts w:hint="eastAsia" w:ascii="楷体" w:hAnsi="楷体" w:eastAsia="楷体" w:cs="楷体"/>
              <w:highlight w:val="none"/>
            </w:rPr>
            <w:fldChar w:fldCharType="separate"/>
          </w:r>
          <w:r>
            <w:rPr>
              <w:rFonts w:hint="eastAsia" w:ascii="楷体" w:hAnsi="楷体" w:eastAsia="楷体" w:cs="楷体"/>
              <w:highlight w:val="none"/>
            </w:rPr>
            <w:t>58</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"_Toc24300" </w:instrText>
          </w:r>
          <w:r>
            <w:rPr>
              <w:highlight w:val="none"/>
            </w:rPr>
            <w:fldChar w:fldCharType="separate"/>
          </w:r>
          <w:r>
            <w:rPr>
              <w:rFonts w:hint="eastAsia" w:ascii="方正仿宋_GB2312" w:hAnsi="方正仿宋_GB2312" w:eastAsia="方正仿宋_GB2312" w:cs="方正仿宋_GB2312"/>
              <w:b/>
              <w:bCs/>
              <w:sz w:val="21"/>
              <w:szCs w:val="21"/>
              <w:highlight w:val="none"/>
            </w:rPr>
            <w:t>第75条</w:t>
          </w:r>
          <w:r>
            <w:rPr>
              <w:rFonts w:hint="eastAsia" w:ascii="方正仿宋_GB2312" w:hAnsi="方正仿宋_GB2312" w:eastAsia="方正仿宋_GB2312" w:cs="方正仿宋_GB2312"/>
              <w:sz w:val="21"/>
              <w:szCs w:val="21"/>
              <w:highlight w:val="none"/>
            </w:rPr>
            <w:t xml:space="preserve"> 生态保护修复治理</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_Toc24300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"_Toc8927" </w:instrText>
          </w:r>
          <w:r>
            <w:rPr>
              <w:highlight w:val="none"/>
            </w:rPr>
            <w:fldChar w:fldCharType="separate"/>
          </w:r>
          <w:r>
            <w:rPr>
              <w:rFonts w:hint="eastAsia" w:ascii="方正仿宋_GB2312" w:hAnsi="方正仿宋_GB2312" w:eastAsia="方正仿宋_GB2312" w:cs="方正仿宋_GB2312"/>
              <w:b/>
              <w:bCs/>
              <w:sz w:val="21"/>
              <w:szCs w:val="21"/>
              <w:highlight w:val="none"/>
            </w:rPr>
            <w:t>第76条</w:t>
          </w:r>
          <w:r>
            <w:rPr>
              <w:rFonts w:hint="eastAsia" w:ascii="方正仿宋_GB2312" w:hAnsi="方正仿宋_GB2312" w:eastAsia="方正仿宋_GB2312" w:cs="方正仿宋_GB2312"/>
              <w:sz w:val="21"/>
              <w:szCs w:val="21"/>
              <w:highlight w:val="none"/>
            </w:rPr>
            <w:t xml:space="preserve"> 分类推进生态修复工程</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_Toc8927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highlight w:val="none"/>
            </w:rPr>
          </w:pPr>
          <w:r>
            <w:rPr>
              <w:highlight w:val="none"/>
            </w:rPr>
            <w:fldChar w:fldCharType="begin"/>
          </w:r>
          <w:r>
            <w:rPr>
              <w:highlight w:val="none"/>
            </w:rPr>
            <w:instrText xml:space="preserve"> HYPERLINK \l "_Toc20651" </w:instrText>
          </w:r>
          <w:r>
            <w:rPr>
              <w:highlight w:val="none"/>
            </w:rPr>
            <w:fldChar w:fldCharType="separate"/>
          </w:r>
          <w:r>
            <w:rPr>
              <w:rFonts w:hint="eastAsia" w:ascii="楷体" w:hAnsi="楷体" w:eastAsia="楷体" w:cs="楷体"/>
              <w:highlight w:val="none"/>
            </w:rPr>
            <w:t>第二节 实施国土综合整治</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_Toc20651 \h </w:instrText>
          </w:r>
          <w:r>
            <w:rPr>
              <w:rFonts w:hint="eastAsia" w:ascii="楷体" w:hAnsi="楷体" w:eastAsia="楷体" w:cs="楷体"/>
              <w:highlight w:val="none"/>
            </w:rPr>
            <w:fldChar w:fldCharType="separate"/>
          </w:r>
          <w:r>
            <w:rPr>
              <w:rFonts w:hint="eastAsia" w:ascii="楷体" w:hAnsi="楷体" w:eastAsia="楷体" w:cs="楷体"/>
              <w:highlight w:val="none"/>
            </w:rPr>
            <w:t>59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"_Toc29475" </w:instrText>
          </w:r>
          <w:r>
            <w:rPr>
              <w:highlight w:val="none"/>
            </w:rPr>
            <w:fldChar w:fldCharType="separate"/>
          </w:r>
          <w:r>
            <w:rPr>
              <w:rFonts w:hint="eastAsia" w:ascii="方正仿宋_GB2312" w:hAnsi="方正仿宋_GB2312" w:eastAsia="方正仿宋_GB2312" w:cs="方正仿宋_GB2312"/>
              <w:b/>
              <w:bCs/>
              <w:sz w:val="21"/>
              <w:szCs w:val="21"/>
              <w:highlight w:val="none"/>
            </w:rPr>
            <w:t>第77条</w:t>
          </w:r>
          <w:r>
            <w:rPr>
              <w:rFonts w:hint="eastAsia" w:ascii="方正仿宋_GB2312" w:hAnsi="方正仿宋_GB2312" w:eastAsia="方正仿宋_GB2312" w:cs="方正仿宋_GB2312"/>
              <w:sz w:val="21"/>
              <w:szCs w:val="21"/>
              <w:highlight w:val="none"/>
            </w:rPr>
            <w:t xml:space="preserve"> 国土综合整治</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_Toc29475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59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"_Toc10354" </w:instrText>
          </w:r>
          <w:r>
            <w:rPr>
              <w:highlight w:val="none"/>
            </w:rPr>
            <w:fldChar w:fldCharType="separate"/>
          </w:r>
          <w:r>
            <w:rPr>
              <w:rFonts w:hint="eastAsia" w:ascii="方正仿宋_GB2312" w:hAnsi="方正仿宋_GB2312" w:eastAsia="方正仿宋_GB2312" w:cs="方正仿宋_GB2312"/>
              <w:b/>
              <w:bCs/>
              <w:sz w:val="21"/>
              <w:szCs w:val="21"/>
              <w:highlight w:val="none"/>
            </w:rPr>
            <w:t>第78条</w:t>
          </w:r>
          <w:r>
            <w:rPr>
              <w:rFonts w:hint="eastAsia" w:ascii="方正仿宋_GB2312" w:hAnsi="方正仿宋_GB2312" w:eastAsia="方正仿宋_GB2312" w:cs="方正仿宋_GB2312"/>
              <w:sz w:val="21"/>
              <w:szCs w:val="21"/>
              <w:highlight w:val="none"/>
            </w:rPr>
            <w:t xml:space="preserve"> 农用地整理</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_Toc10354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"_Toc21393"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第79条 </w:t>
          </w:r>
          <w:r>
            <w:rPr>
              <w:rFonts w:hint="eastAsia" w:ascii="方正仿宋_GB2312" w:hAnsi="方正仿宋_GB2312" w:eastAsia="方正仿宋_GB2312" w:cs="方正仿宋_GB2312"/>
              <w:sz w:val="21"/>
              <w:szCs w:val="21"/>
              <w:highlight w:val="none"/>
            </w:rPr>
            <w:t>建设用地整理</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_Toc21393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"_Toc19840" </w:instrText>
          </w:r>
          <w:r>
            <w:rPr>
              <w:highlight w:val="none"/>
            </w:rPr>
            <w:fldChar w:fldCharType="separate"/>
          </w:r>
          <w:r>
            <w:rPr>
              <w:rFonts w:hint="eastAsia" w:ascii="黑体" w:hAnsi="黑体" w:eastAsia="黑体" w:cs="黑体"/>
              <w:sz w:val="28"/>
              <w:szCs w:val="28"/>
              <w:highlight w:val="none"/>
            </w:rPr>
            <w:t>第九章 镇区规划</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_Toc19840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62</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"_Toc6274" </w:instrText>
          </w:r>
          <w:r>
            <w:rPr>
              <w:highlight w:val="none"/>
            </w:rPr>
            <w:fldChar w:fldCharType="separate"/>
          </w:r>
          <w:r>
            <w:rPr>
              <w:rFonts w:hint="eastAsia" w:ascii="楷体" w:hAnsi="楷体" w:eastAsia="楷体" w:cs="楷体"/>
              <w:highlight w:val="none"/>
            </w:rPr>
            <w:t>第一节 空间布局优化</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_Toc6274 \h </w:instrText>
          </w:r>
          <w:r>
            <w:rPr>
              <w:rFonts w:hint="eastAsia" w:ascii="楷体" w:hAnsi="楷体" w:eastAsia="楷体" w:cs="楷体"/>
              <w:highlight w:val="none"/>
            </w:rPr>
            <w:fldChar w:fldCharType="separate"/>
          </w:r>
          <w:r>
            <w:rPr>
              <w:rFonts w:hint="eastAsia" w:ascii="楷体" w:hAnsi="楷体" w:eastAsia="楷体" w:cs="楷体"/>
              <w:highlight w:val="none"/>
            </w:rPr>
            <w:t>62</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"_Toc19710"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第80条 </w:t>
          </w:r>
          <w:r>
            <w:rPr>
              <w:rFonts w:hint="eastAsia" w:ascii="方正仿宋_GB2312" w:hAnsi="方正仿宋_GB2312" w:eastAsia="方正仿宋_GB2312" w:cs="方正仿宋_GB2312"/>
              <w:sz w:val="21"/>
              <w:szCs w:val="21"/>
              <w:highlight w:val="none"/>
            </w:rPr>
            <w:t>镇区空间结构优化</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_Toc19710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62</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"_Toc28466"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第81条 </w:t>
          </w:r>
          <w:r>
            <w:rPr>
              <w:rFonts w:hint="eastAsia" w:ascii="方正仿宋_GB2312" w:hAnsi="方正仿宋_GB2312" w:eastAsia="方正仿宋_GB2312" w:cs="方正仿宋_GB2312"/>
              <w:sz w:val="21"/>
              <w:szCs w:val="21"/>
              <w:highlight w:val="none"/>
            </w:rPr>
            <w:t>优化建设用地结构</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_Toc28466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"_Toc2314" </w:instrText>
          </w:r>
          <w:r>
            <w:rPr>
              <w:highlight w:val="none"/>
            </w:rPr>
            <w:fldChar w:fldCharType="separate"/>
          </w:r>
          <w:r>
            <w:rPr>
              <w:rFonts w:hint="eastAsia" w:ascii="楷体" w:hAnsi="楷体" w:eastAsia="楷体" w:cs="楷体"/>
              <w:highlight w:val="none"/>
            </w:rPr>
            <w:t>第二节 公共服务设施与社区生活圈</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_Toc2314 \h </w:instrText>
          </w:r>
          <w:r>
            <w:rPr>
              <w:rFonts w:hint="eastAsia" w:ascii="楷体" w:hAnsi="楷体" w:eastAsia="楷体" w:cs="楷体"/>
              <w:highlight w:val="none"/>
            </w:rPr>
            <w:fldChar w:fldCharType="separate"/>
          </w:r>
          <w:r>
            <w:rPr>
              <w:rFonts w:hint="eastAsia" w:ascii="楷体" w:hAnsi="楷体" w:eastAsia="楷体" w:cs="楷体"/>
              <w:highlight w:val="none"/>
            </w:rPr>
            <w:t>63</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"_Toc15317" </w:instrText>
          </w:r>
          <w:r>
            <w:rPr>
              <w:highlight w:val="none"/>
            </w:rPr>
            <w:fldChar w:fldCharType="separate"/>
          </w:r>
          <w:r>
            <w:rPr>
              <w:rFonts w:hint="eastAsia" w:ascii="方正仿宋_GB2312" w:hAnsi="方正仿宋_GB2312" w:eastAsia="方正仿宋_GB2312" w:cs="方正仿宋_GB2312"/>
              <w:b/>
              <w:bCs/>
              <w:sz w:val="21"/>
              <w:szCs w:val="21"/>
              <w:highlight w:val="none"/>
            </w:rPr>
            <w:t>第82条</w:t>
          </w:r>
          <w:r>
            <w:rPr>
              <w:rFonts w:hint="eastAsia" w:ascii="方正仿宋_GB2312" w:hAnsi="方正仿宋_GB2312" w:eastAsia="方正仿宋_GB2312" w:cs="方正仿宋_GB2312"/>
              <w:sz w:val="21"/>
              <w:szCs w:val="21"/>
              <w:highlight w:val="none"/>
            </w:rPr>
            <w:t xml:space="preserve"> 镇区公共服务设施与社区生活圈</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_Toc15317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63</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"_Toc23918" </w:instrText>
          </w:r>
          <w:r>
            <w:rPr>
              <w:highlight w:val="none"/>
            </w:rPr>
            <w:fldChar w:fldCharType="separate"/>
          </w:r>
          <w:r>
            <w:rPr>
              <w:rFonts w:hint="eastAsia" w:ascii="楷体" w:hAnsi="楷体" w:eastAsia="楷体" w:cs="楷体"/>
              <w:highlight w:val="none"/>
            </w:rPr>
            <w:t>第三节 绿地和开敞空间</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_Toc23918 \h </w:instrText>
          </w:r>
          <w:r>
            <w:rPr>
              <w:rFonts w:hint="eastAsia" w:ascii="楷体" w:hAnsi="楷体" w:eastAsia="楷体" w:cs="楷体"/>
              <w:highlight w:val="none"/>
            </w:rPr>
            <w:fldChar w:fldCharType="separate"/>
          </w:r>
          <w:r>
            <w:rPr>
              <w:rFonts w:hint="eastAsia" w:ascii="楷体" w:hAnsi="楷体" w:eastAsia="楷体" w:cs="楷体"/>
              <w:highlight w:val="none"/>
            </w:rPr>
            <w:t>64</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"_Toc23015" </w:instrText>
          </w:r>
          <w:r>
            <w:rPr>
              <w:highlight w:val="none"/>
            </w:rPr>
            <w:fldChar w:fldCharType="separate"/>
          </w:r>
          <w:r>
            <w:rPr>
              <w:rFonts w:hint="eastAsia" w:ascii="方正仿宋_GB2312" w:hAnsi="方正仿宋_GB2312" w:eastAsia="方正仿宋_GB2312" w:cs="方正仿宋_GB2312"/>
              <w:b/>
              <w:bCs/>
              <w:sz w:val="21"/>
              <w:szCs w:val="21"/>
              <w:highlight w:val="none"/>
            </w:rPr>
            <w:t>第83条</w:t>
          </w:r>
          <w:r>
            <w:rPr>
              <w:rFonts w:hint="eastAsia" w:ascii="方正仿宋_GB2312" w:hAnsi="方正仿宋_GB2312" w:eastAsia="方正仿宋_GB2312" w:cs="方正仿宋_GB2312"/>
              <w:sz w:val="21"/>
              <w:szCs w:val="21"/>
              <w:highlight w:val="none"/>
            </w:rPr>
            <w:t xml:space="preserve"> 镇区公园绿地和开敞空间</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_Toc23015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"_Toc21286" </w:instrText>
          </w:r>
          <w:r>
            <w:rPr>
              <w:highlight w:val="none"/>
            </w:rPr>
            <w:fldChar w:fldCharType="separate"/>
          </w:r>
          <w:r>
            <w:rPr>
              <w:rFonts w:hint="eastAsia" w:ascii="楷体" w:hAnsi="楷体" w:eastAsia="楷体" w:cs="楷体"/>
              <w:highlight w:val="none"/>
            </w:rPr>
            <w:t>第四节 道路交通规划</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_Toc21286 \h </w:instrText>
          </w:r>
          <w:r>
            <w:rPr>
              <w:rFonts w:hint="eastAsia" w:ascii="楷体" w:hAnsi="楷体" w:eastAsia="楷体" w:cs="楷体"/>
              <w:highlight w:val="none"/>
            </w:rPr>
            <w:fldChar w:fldCharType="separate"/>
          </w:r>
          <w:r>
            <w:rPr>
              <w:rFonts w:hint="eastAsia" w:ascii="楷体" w:hAnsi="楷体" w:eastAsia="楷体" w:cs="楷体"/>
              <w:highlight w:val="none"/>
            </w:rPr>
            <w:t>64</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"_Toc9240" </w:instrText>
          </w:r>
          <w:r>
            <w:rPr>
              <w:highlight w:val="none"/>
            </w:rPr>
            <w:fldChar w:fldCharType="separate"/>
          </w:r>
          <w:r>
            <w:rPr>
              <w:rFonts w:hint="eastAsia" w:ascii="方正仿宋_GB2312" w:hAnsi="方正仿宋_GB2312" w:eastAsia="方正仿宋_GB2312" w:cs="方正仿宋_GB2312"/>
              <w:b/>
              <w:bCs/>
              <w:sz w:val="21"/>
              <w:szCs w:val="21"/>
              <w:highlight w:val="none"/>
            </w:rPr>
            <w:t>第84条</w:t>
          </w:r>
          <w:r>
            <w:rPr>
              <w:rFonts w:hint="eastAsia" w:ascii="方正仿宋_GB2312" w:hAnsi="方正仿宋_GB2312" w:eastAsia="方正仿宋_GB2312" w:cs="方正仿宋_GB2312"/>
              <w:sz w:val="21"/>
              <w:szCs w:val="21"/>
              <w:highlight w:val="none"/>
            </w:rPr>
            <w:t xml:space="preserve"> 镇区道路交通规划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_Toc9240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64</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"_Toc8480" </w:instrText>
          </w:r>
          <w:r>
            <w:rPr>
              <w:highlight w:val="none"/>
            </w:rPr>
            <w:fldChar w:fldCharType="separate"/>
          </w:r>
          <w:r>
            <w:rPr>
              <w:rFonts w:hint="eastAsia" w:ascii="楷体" w:hAnsi="楷体" w:eastAsia="楷体" w:cs="楷体"/>
              <w:highlight w:val="none"/>
            </w:rPr>
            <w:t>第五节 市政基础设施布局</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_Toc8480 \h </w:instrText>
          </w:r>
          <w:r>
            <w:rPr>
              <w:rFonts w:hint="eastAsia" w:ascii="楷体" w:hAnsi="楷体" w:eastAsia="楷体" w:cs="楷体"/>
              <w:highlight w:val="none"/>
            </w:rPr>
            <w:fldChar w:fldCharType="separate"/>
          </w:r>
          <w:r>
            <w:rPr>
              <w:rFonts w:hint="eastAsia" w:ascii="楷体" w:hAnsi="楷体" w:eastAsia="楷体" w:cs="楷体"/>
              <w:highlight w:val="none"/>
            </w:rPr>
            <w:t>65</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"_Toc10398" </w:instrText>
          </w:r>
          <w:r>
            <w:rPr>
              <w:highlight w:val="none"/>
            </w:rPr>
            <w:fldChar w:fldCharType="separate"/>
          </w:r>
          <w:r>
            <w:rPr>
              <w:rFonts w:hint="eastAsia" w:ascii="方正仿宋_GB2312" w:hAnsi="方正仿宋_GB2312" w:eastAsia="方正仿宋_GB2312" w:cs="方正仿宋_GB2312"/>
              <w:b/>
              <w:bCs/>
              <w:sz w:val="21"/>
              <w:szCs w:val="21"/>
              <w:highlight w:val="none"/>
            </w:rPr>
            <w:t>第85条</w:t>
          </w:r>
          <w:r>
            <w:rPr>
              <w:rFonts w:hint="eastAsia" w:ascii="方正仿宋_GB2312" w:hAnsi="方正仿宋_GB2312" w:eastAsia="方正仿宋_GB2312" w:cs="方正仿宋_GB2312"/>
              <w:sz w:val="21"/>
              <w:szCs w:val="21"/>
              <w:highlight w:val="none"/>
            </w:rPr>
            <w:t xml:space="preserve"> 镇区市政设施规划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_Toc10398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65</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"_Toc27600" </w:instrText>
          </w:r>
          <w:r>
            <w:rPr>
              <w:highlight w:val="none"/>
            </w:rPr>
            <w:fldChar w:fldCharType="separate"/>
          </w:r>
          <w:r>
            <w:rPr>
              <w:rFonts w:hint="eastAsia" w:ascii="楷体" w:hAnsi="楷体" w:eastAsia="楷体" w:cs="楷体"/>
              <w:highlight w:val="none"/>
            </w:rPr>
            <w:t>第六节 综合防灾规划</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_Toc27600 \h </w:instrText>
          </w:r>
          <w:r>
            <w:rPr>
              <w:rFonts w:hint="eastAsia" w:ascii="楷体" w:hAnsi="楷体" w:eastAsia="楷体" w:cs="楷体"/>
              <w:highlight w:val="none"/>
            </w:rPr>
            <w:fldChar w:fldCharType="separate"/>
          </w:r>
          <w:r>
            <w:rPr>
              <w:rFonts w:hint="eastAsia" w:ascii="楷体" w:hAnsi="楷体" w:eastAsia="楷体" w:cs="楷体"/>
              <w:highlight w:val="none"/>
            </w:rPr>
            <w:t>66</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"_Toc21735" </w:instrText>
          </w:r>
          <w:r>
            <w:rPr>
              <w:highlight w:val="none"/>
            </w:rPr>
            <w:fldChar w:fldCharType="separate"/>
          </w:r>
          <w:r>
            <w:rPr>
              <w:rFonts w:hint="eastAsia" w:ascii="方正仿宋_GB2312" w:hAnsi="方正仿宋_GB2312" w:eastAsia="方正仿宋_GB2312" w:cs="方正仿宋_GB2312"/>
              <w:b/>
              <w:bCs/>
              <w:sz w:val="21"/>
              <w:szCs w:val="21"/>
              <w:highlight w:val="none"/>
            </w:rPr>
            <w:t>第86条</w:t>
          </w:r>
          <w:r>
            <w:rPr>
              <w:rFonts w:hint="eastAsia" w:ascii="方正仿宋_GB2312" w:hAnsi="方正仿宋_GB2312" w:eastAsia="方正仿宋_GB2312" w:cs="方正仿宋_GB2312"/>
              <w:sz w:val="21"/>
              <w:szCs w:val="21"/>
              <w:highlight w:val="none"/>
            </w:rPr>
            <w:t xml:space="preserve"> 镇区综合防灾规划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_Toc21735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66</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"_Toc655" </w:instrText>
          </w:r>
          <w:r>
            <w:rPr>
              <w:highlight w:val="none"/>
            </w:rPr>
            <w:fldChar w:fldCharType="separate"/>
          </w:r>
          <w:r>
            <w:rPr>
              <w:rFonts w:hint="eastAsia" w:ascii="楷体" w:hAnsi="楷体" w:eastAsia="楷体" w:cs="楷体"/>
              <w:highlight w:val="none"/>
            </w:rPr>
            <w:t>第七节 四线划定</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_Toc655 \h </w:instrText>
          </w:r>
          <w:r>
            <w:rPr>
              <w:rFonts w:hint="eastAsia" w:ascii="楷体" w:hAnsi="楷体" w:eastAsia="楷体" w:cs="楷体"/>
              <w:highlight w:val="none"/>
            </w:rPr>
            <w:fldChar w:fldCharType="separate"/>
          </w:r>
          <w:r>
            <w:rPr>
              <w:rFonts w:hint="eastAsia" w:ascii="楷体" w:hAnsi="楷体" w:eastAsia="楷体" w:cs="楷体"/>
              <w:highlight w:val="none"/>
            </w:rPr>
            <w:t>67</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"_Toc31744" </w:instrText>
          </w:r>
          <w:r>
            <w:rPr>
              <w:highlight w:val="none"/>
            </w:rPr>
            <w:fldChar w:fldCharType="separate"/>
          </w:r>
          <w:r>
            <w:rPr>
              <w:rFonts w:hint="eastAsia" w:ascii="方正仿宋_GB2312" w:hAnsi="方正仿宋_GB2312" w:eastAsia="方正仿宋_GB2312" w:cs="方正仿宋_GB2312"/>
              <w:b/>
              <w:bCs/>
              <w:sz w:val="21"/>
              <w:szCs w:val="21"/>
              <w:highlight w:val="none"/>
            </w:rPr>
            <w:t>第87条</w:t>
          </w:r>
          <w:r>
            <w:rPr>
              <w:rFonts w:hint="eastAsia" w:ascii="方正仿宋_GB2312" w:hAnsi="方正仿宋_GB2312" w:eastAsia="方正仿宋_GB2312" w:cs="方正仿宋_GB2312"/>
              <w:sz w:val="21"/>
              <w:szCs w:val="21"/>
              <w:highlight w:val="none"/>
            </w:rPr>
            <w:t xml:space="preserve"> 蓝线划定与管控</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_Toc31744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"_Toc4326" </w:instrText>
          </w:r>
          <w:r>
            <w:rPr>
              <w:highlight w:val="none"/>
            </w:rPr>
            <w:fldChar w:fldCharType="separate"/>
          </w:r>
          <w:r>
            <w:rPr>
              <w:rFonts w:hint="eastAsia" w:ascii="方正仿宋_GB2312" w:hAnsi="方正仿宋_GB2312" w:eastAsia="方正仿宋_GB2312" w:cs="方正仿宋_GB2312"/>
              <w:b/>
              <w:bCs/>
              <w:sz w:val="21"/>
              <w:szCs w:val="21"/>
              <w:highlight w:val="none"/>
            </w:rPr>
            <w:t xml:space="preserve">第88条 </w:t>
          </w:r>
          <w:r>
            <w:rPr>
              <w:rFonts w:hint="eastAsia" w:ascii="方正仿宋_GB2312" w:hAnsi="方正仿宋_GB2312" w:eastAsia="方正仿宋_GB2312" w:cs="方正仿宋_GB2312"/>
              <w:sz w:val="21"/>
              <w:szCs w:val="21"/>
              <w:highlight w:val="none"/>
            </w:rPr>
            <w:t>绿线划定与管控</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_Toc4326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"_Toc30006" </w:instrText>
          </w:r>
          <w:r>
            <w:rPr>
              <w:highlight w:val="none"/>
            </w:rPr>
            <w:fldChar w:fldCharType="separate"/>
          </w:r>
          <w:r>
            <w:rPr>
              <w:rFonts w:hint="eastAsia" w:ascii="方正仿宋_GB2312" w:hAnsi="方正仿宋_GB2312" w:eastAsia="方正仿宋_GB2312" w:cs="方正仿宋_GB2312"/>
              <w:b/>
              <w:bCs/>
              <w:sz w:val="21"/>
              <w:szCs w:val="21"/>
              <w:highlight w:val="none"/>
            </w:rPr>
            <w:t>第89条</w:t>
          </w:r>
          <w:r>
            <w:rPr>
              <w:rFonts w:hint="eastAsia" w:ascii="方正仿宋_GB2312" w:hAnsi="方正仿宋_GB2312" w:eastAsia="方正仿宋_GB2312" w:cs="方正仿宋_GB2312"/>
              <w:sz w:val="21"/>
              <w:szCs w:val="21"/>
              <w:highlight w:val="none"/>
            </w:rPr>
            <w:t xml:space="preserve"> 黄线划定与管控</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_Toc30006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67</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"_Toc11055" </w:instrText>
          </w:r>
          <w:r>
            <w:rPr>
              <w:highlight w:val="none"/>
            </w:rPr>
            <w:fldChar w:fldCharType="separate"/>
          </w:r>
          <w:r>
            <w:rPr>
              <w:rFonts w:hint="eastAsia" w:ascii="方正仿宋_GB2312" w:hAnsi="方正仿宋_GB2312" w:eastAsia="方正仿宋_GB2312" w:cs="方正仿宋_GB2312"/>
              <w:b/>
              <w:bCs/>
              <w:sz w:val="21"/>
              <w:szCs w:val="21"/>
              <w:highlight w:val="none"/>
            </w:rPr>
            <w:t>第90条</w:t>
          </w:r>
          <w:r>
            <w:rPr>
              <w:rFonts w:hint="eastAsia" w:ascii="方正仿宋_GB2312" w:hAnsi="方正仿宋_GB2312" w:eastAsia="方正仿宋_GB2312" w:cs="方正仿宋_GB2312"/>
              <w:sz w:val="21"/>
              <w:szCs w:val="21"/>
              <w:highlight w:val="none"/>
            </w:rPr>
            <w:t xml:space="preserve"> 紫线划定与管控</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_Toc11055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8"/>
            <w:tabs>
              <w:tab w:val="right" w:leader="dot" w:pos="8306"/>
            </w:tabs>
            <w:ind w:firstLine="0" w:firstLineChars="0"/>
            <w:rPr>
              <w:rFonts w:ascii="黑体" w:hAnsi="黑体" w:eastAsia="黑体" w:cs="黑体"/>
              <w:sz w:val="28"/>
              <w:szCs w:val="28"/>
              <w:highlight w:val="none"/>
            </w:rPr>
          </w:pPr>
          <w:r>
            <w:rPr>
              <w:highlight w:val="none"/>
            </w:rPr>
            <w:fldChar w:fldCharType="begin"/>
          </w:r>
          <w:r>
            <w:rPr>
              <w:highlight w:val="none"/>
            </w:rPr>
            <w:instrText xml:space="preserve"> HYPERLINK \l "_Toc15545" </w:instrText>
          </w:r>
          <w:r>
            <w:rPr>
              <w:highlight w:val="none"/>
            </w:rPr>
            <w:fldChar w:fldCharType="separate"/>
          </w:r>
          <w:r>
            <w:rPr>
              <w:rFonts w:hint="eastAsia" w:ascii="黑体" w:hAnsi="黑体" w:eastAsia="黑体" w:cs="黑体"/>
              <w:sz w:val="28"/>
              <w:szCs w:val="28"/>
              <w:highlight w:val="none"/>
            </w:rPr>
            <w:t>第十章 规划实施保障</w:t>
          </w:r>
          <w:r>
            <w:rPr>
              <w:rFonts w:hint="eastAsia" w:ascii="黑体" w:hAnsi="黑体" w:eastAsia="黑体" w:cs="黑体"/>
              <w:sz w:val="28"/>
              <w:szCs w:val="28"/>
              <w:highlight w:val="none"/>
            </w:rPr>
            <w:tab/>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PAGEREF _Toc15545 \h </w:instrText>
          </w:r>
          <w:r>
            <w:rPr>
              <w:rFonts w:hint="eastAsia" w:ascii="黑体" w:hAnsi="黑体" w:eastAsia="黑体" w:cs="黑体"/>
              <w:sz w:val="28"/>
              <w:szCs w:val="28"/>
              <w:highlight w:val="none"/>
            </w:rPr>
            <w:fldChar w:fldCharType="separate"/>
          </w:r>
          <w:r>
            <w:rPr>
              <w:rFonts w:hint="eastAsia" w:ascii="黑体" w:hAnsi="黑体" w:eastAsia="黑体" w:cs="黑体"/>
              <w:sz w:val="28"/>
              <w:szCs w:val="28"/>
              <w:highlight w:val="none"/>
            </w:rPr>
            <w:t>69</w:t>
          </w:r>
          <w:r>
            <w:rPr>
              <w:rFonts w:hint="eastAsia" w:ascii="黑体" w:hAnsi="黑体" w:eastAsia="黑体" w:cs="黑体"/>
              <w:sz w:val="28"/>
              <w:szCs w:val="28"/>
              <w:highlight w:val="none"/>
            </w:rPr>
            <w:fldChar w:fldCharType="end"/>
          </w:r>
          <w:r>
            <w:rPr>
              <w:rFonts w:hint="eastAsia" w:ascii="黑体" w:hAnsi="黑体" w:eastAsia="黑体" w:cs="黑体"/>
              <w:sz w:val="28"/>
              <w:szCs w:val="28"/>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"_Toc6446" </w:instrText>
          </w:r>
          <w:r>
            <w:rPr>
              <w:highlight w:val="none"/>
            </w:rPr>
            <w:fldChar w:fldCharType="separate"/>
          </w:r>
          <w:r>
            <w:rPr>
              <w:rFonts w:hint="eastAsia" w:ascii="楷体" w:hAnsi="楷体" w:eastAsia="楷体" w:cs="楷体"/>
              <w:highlight w:val="none"/>
            </w:rPr>
            <w:t>第一节 加强党的领导</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_Toc6446 \h </w:instrText>
          </w:r>
          <w:r>
            <w:rPr>
              <w:rFonts w:hint="eastAsia" w:ascii="楷体" w:hAnsi="楷体" w:eastAsia="楷体" w:cs="楷体"/>
              <w:highlight w:val="none"/>
            </w:rPr>
            <w:fldChar w:fldCharType="separate"/>
          </w:r>
          <w:r>
            <w:rPr>
              <w:rFonts w:hint="eastAsia" w:ascii="楷体" w:hAnsi="楷体" w:eastAsia="楷体" w:cs="楷体"/>
              <w:highlight w:val="none"/>
            </w:rPr>
            <w:t>69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"_Toc3650" </w:instrText>
          </w:r>
          <w:r>
            <w:rPr>
              <w:highlight w:val="none"/>
            </w:rPr>
            <w:fldChar w:fldCharType="separate"/>
          </w:r>
          <w:r>
            <w:rPr>
              <w:rFonts w:hint="eastAsia" w:ascii="方正仿宋_GB2312" w:hAnsi="方正仿宋_GB2312" w:eastAsia="方正仿宋_GB2312" w:cs="方正仿宋_GB2312"/>
              <w:b/>
              <w:bCs/>
              <w:sz w:val="21"/>
              <w:szCs w:val="21"/>
              <w:highlight w:val="none"/>
            </w:rPr>
            <w:t>第91条</w:t>
          </w:r>
          <w:r>
            <w:rPr>
              <w:rFonts w:hint="eastAsia" w:ascii="方正仿宋_GB2312" w:hAnsi="方正仿宋_GB2312" w:eastAsia="方正仿宋_GB2312" w:cs="方正仿宋_GB2312"/>
              <w:sz w:val="21"/>
              <w:szCs w:val="21"/>
              <w:highlight w:val="none"/>
            </w:rPr>
            <w:t xml:space="preserve"> 强化党对国土空间规划工作的全面领导</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_Toc3650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highlight w:val="none"/>
            </w:rPr>
          </w:pPr>
          <w:r>
            <w:rPr>
              <w:highlight w:val="none"/>
            </w:rPr>
            <w:fldChar w:fldCharType="begin"/>
          </w:r>
          <w:r>
            <w:rPr>
              <w:highlight w:val="none"/>
            </w:rPr>
            <w:instrText xml:space="preserve"> HYPERLINK \l "_Toc5784" </w:instrText>
          </w:r>
          <w:r>
            <w:rPr>
              <w:highlight w:val="none"/>
            </w:rPr>
            <w:fldChar w:fldCharType="separate"/>
          </w:r>
          <w:r>
            <w:rPr>
              <w:rFonts w:hint="eastAsia" w:ascii="楷体" w:hAnsi="楷体" w:eastAsia="楷体" w:cs="楷体"/>
              <w:highlight w:val="none"/>
            </w:rPr>
            <w:t>第二节 规划传导及管控</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_Toc5784 \h </w:instrText>
          </w:r>
          <w:r>
            <w:rPr>
              <w:rFonts w:hint="eastAsia" w:ascii="楷体" w:hAnsi="楷体" w:eastAsia="楷体" w:cs="楷体"/>
              <w:highlight w:val="none"/>
            </w:rPr>
            <w:fldChar w:fldCharType="separate"/>
          </w:r>
          <w:r>
            <w:rPr>
              <w:rFonts w:hint="eastAsia" w:ascii="楷体" w:hAnsi="楷体" w:eastAsia="楷体" w:cs="楷体"/>
              <w:highlight w:val="none"/>
            </w:rPr>
            <w:t>69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"_Toc29203" </w:instrText>
          </w:r>
          <w:r>
            <w:rPr>
              <w:highlight w:val="none"/>
            </w:rPr>
            <w:fldChar w:fldCharType="separate"/>
          </w:r>
          <w:r>
            <w:rPr>
              <w:rFonts w:hint="eastAsia" w:ascii="方正仿宋_GB2312" w:hAnsi="方正仿宋_GB2312" w:eastAsia="方正仿宋_GB2312" w:cs="方正仿宋_GB2312"/>
              <w:b/>
              <w:bCs/>
              <w:sz w:val="21"/>
              <w:szCs w:val="21"/>
              <w:highlight w:val="none"/>
            </w:rPr>
            <w:t>第92条</w:t>
          </w:r>
          <w:r>
            <w:rPr>
              <w:rFonts w:hint="eastAsia" w:ascii="方正仿宋_GB2312" w:hAnsi="方正仿宋_GB2312" w:eastAsia="方正仿宋_GB2312" w:cs="方正仿宋_GB2312"/>
              <w:sz w:val="21"/>
              <w:szCs w:val="21"/>
              <w:highlight w:val="none"/>
            </w:rPr>
            <w:t xml:space="preserve"> 规划传导</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_Toc29203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69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"_Toc16539" </w:instrText>
          </w:r>
          <w:r>
            <w:rPr>
              <w:highlight w:val="none"/>
            </w:rPr>
            <w:fldChar w:fldCharType="separate"/>
          </w:r>
          <w:r>
            <w:rPr>
              <w:rFonts w:hint="eastAsia" w:ascii="方正仿宋_GB2312" w:hAnsi="方正仿宋_GB2312" w:eastAsia="方正仿宋_GB2312" w:cs="方正仿宋_GB2312"/>
              <w:b/>
              <w:bCs/>
              <w:sz w:val="21"/>
              <w:szCs w:val="21"/>
              <w:highlight w:val="none"/>
            </w:rPr>
            <w:t>第93条</w:t>
          </w:r>
          <w:r>
            <w:rPr>
              <w:rFonts w:hint="eastAsia" w:ascii="方正仿宋_GB2312" w:hAnsi="方正仿宋_GB2312" w:eastAsia="方正仿宋_GB2312" w:cs="方正仿宋_GB2312"/>
              <w:sz w:val="21"/>
              <w:szCs w:val="21"/>
              <w:highlight w:val="none"/>
            </w:rPr>
            <w:t xml:space="preserve"> 村庄规划管理通则</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_Toc16539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"_Toc14023" </w:instrText>
          </w:r>
          <w:r>
            <w:rPr>
              <w:highlight w:val="none"/>
            </w:rPr>
            <w:fldChar w:fldCharType="separate"/>
          </w:r>
          <w:r>
            <w:rPr>
              <w:rFonts w:hint="eastAsia" w:ascii="楷体" w:hAnsi="楷体" w:eastAsia="楷体" w:cs="楷体"/>
              <w:highlight w:val="none"/>
            </w:rPr>
            <w:t>第三节 近期行动和重大项目保障</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_Toc14023 \h </w:instrText>
          </w:r>
          <w:r>
            <w:rPr>
              <w:rFonts w:hint="eastAsia" w:ascii="楷体" w:hAnsi="楷体" w:eastAsia="楷体" w:cs="楷体"/>
              <w:highlight w:val="none"/>
            </w:rPr>
            <w:fldChar w:fldCharType="separate"/>
          </w:r>
          <w:r>
            <w:rPr>
              <w:rFonts w:hint="eastAsia" w:ascii="楷体" w:hAnsi="楷体" w:eastAsia="楷体" w:cs="楷体"/>
              <w:highlight w:val="none"/>
            </w:rPr>
            <w:t>78</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"_Toc24807" </w:instrText>
          </w:r>
          <w:r>
            <w:rPr>
              <w:highlight w:val="none"/>
            </w:rPr>
            <w:fldChar w:fldCharType="separate"/>
          </w:r>
          <w:r>
            <w:rPr>
              <w:rFonts w:hint="eastAsia" w:ascii="方正仿宋_GB2312" w:hAnsi="方正仿宋_GB2312" w:eastAsia="方正仿宋_GB2312" w:cs="方正仿宋_GB2312"/>
              <w:b/>
              <w:bCs/>
              <w:sz w:val="21"/>
              <w:szCs w:val="21"/>
              <w:highlight w:val="none"/>
            </w:rPr>
            <w:t>第94条</w:t>
          </w:r>
          <w:r>
            <w:rPr>
              <w:rFonts w:hint="eastAsia" w:ascii="方正仿宋_GB2312" w:hAnsi="方正仿宋_GB2312" w:eastAsia="方正仿宋_GB2312" w:cs="方正仿宋_GB2312"/>
              <w:sz w:val="21"/>
              <w:szCs w:val="21"/>
              <w:highlight w:val="none"/>
            </w:rPr>
            <w:t xml:space="preserve"> 近期行动计划</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_Toc24807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"_Toc26314" </w:instrText>
          </w:r>
          <w:r>
            <w:rPr>
              <w:highlight w:val="none"/>
            </w:rPr>
            <w:fldChar w:fldCharType="separate"/>
          </w:r>
          <w:r>
            <w:rPr>
              <w:rFonts w:hint="eastAsia" w:ascii="方正仿宋_GB2312" w:hAnsi="方正仿宋_GB2312" w:eastAsia="方正仿宋_GB2312" w:cs="方正仿宋_GB2312"/>
              <w:b/>
              <w:bCs/>
              <w:sz w:val="21"/>
              <w:szCs w:val="21"/>
              <w:highlight w:val="none"/>
            </w:rPr>
            <w:t>第95条</w:t>
          </w:r>
          <w:r>
            <w:rPr>
              <w:rFonts w:hint="eastAsia" w:ascii="方正仿宋_GB2312" w:hAnsi="方正仿宋_GB2312" w:eastAsia="方正仿宋_GB2312" w:cs="方正仿宋_GB2312"/>
              <w:sz w:val="21"/>
              <w:szCs w:val="21"/>
              <w:highlight w:val="none"/>
            </w:rPr>
            <w:t xml:space="preserve"> 重点项目保障</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_Toc26314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"_Toc2508" </w:instrText>
          </w:r>
          <w:r>
            <w:rPr>
              <w:highlight w:val="none"/>
            </w:rPr>
            <w:fldChar w:fldCharType="separate"/>
          </w:r>
          <w:r>
            <w:rPr>
              <w:rFonts w:hint="eastAsia" w:ascii="楷体" w:hAnsi="楷体" w:eastAsia="楷体" w:cs="楷体"/>
              <w:highlight w:val="none"/>
            </w:rPr>
            <w:t>第四节 实施政策机制</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_Toc2508 \h </w:instrText>
          </w:r>
          <w:r>
            <w:rPr>
              <w:rFonts w:hint="eastAsia" w:ascii="楷体" w:hAnsi="楷体" w:eastAsia="楷体" w:cs="楷体"/>
              <w:highlight w:val="none"/>
            </w:rPr>
            <w:fldChar w:fldCharType="separate"/>
          </w:r>
          <w:r>
            <w:rPr>
              <w:rFonts w:hint="eastAsia" w:ascii="楷体" w:hAnsi="楷体" w:eastAsia="楷体" w:cs="楷体"/>
              <w:highlight w:val="none"/>
            </w:rPr>
            <w:t>78</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"_Toc32372" </w:instrText>
          </w:r>
          <w:r>
            <w:rPr>
              <w:highlight w:val="none"/>
            </w:rPr>
            <w:fldChar w:fldCharType="separate"/>
          </w:r>
          <w:r>
            <w:rPr>
              <w:rFonts w:hint="eastAsia" w:ascii="方正仿宋_GB2312" w:hAnsi="方正仿宋_GB2312" w:eastAsia="方正仿宋_GB2312" w:cs="方正仿宋_GB2312"/>
              <w:b/>
              <w:bCs/>
              <w:sz w:val="21"/>
              <w:szCs w:val="21"/>
              <w:highlight w:val="none"/>
            </w:rPr>
            <w:t>第96条</w:t>
          </w:r>
          <w:r>
            <w:rPr>
              <w:rFonts w:hint="eastAsia" w:ascii="方正仿宋_GB2312" w:hAnsi="方正仿宋_GB2312" w:eastAsia="方正仿宋_GB2312" w:cs="方正仿宋_GB2312"/>
              <w:sz w:val="21"/>
              <w:szCs w:val="21"/>
              <w:highlight w:val="none"/>
            </w:rPr>
            <w:t xml:space="preserve"> 建立规划留白机制</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_Toc32372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78</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highlight w:val="none"/>
            </w:rPr>
          </w:pPr>
          <w:r>
            <w:rPr>
              <w:highlight w:val="none"/>
            </w:rPr>
            <w:fldChar w:fldCharType="begin"/>
          </w:r>
          <w:r>
            <w:rPr>
              <w:highlight w:val="none"/>
            </w:rPr>
            <w:instrText xml:space="preserve"> HYPERLINK \l "_Toc21601" </w:instrText>
          </w:r>
          <w:r>
            <w:rPr>
              <w:highlight w:val="none"/>
            </w:rPr>
            <w:fldChar w:fldCharType="separate"/>
          </w:r>
          <w:r>
            <w:rPr>
              <w:rFonts w:hint="eastAsia" w:ascii="方正仿宋_GB2312" w:hAnsi="方正仿宋_GB2312" w:eastAsia="方正仿宋_GB2312" w:cs="方正仿宋_GB2312"/>
              <w:b/>
              <w:bCs/>
              <w:sz w:val="21"/>
              <w:szCs w:val="21"/>
              <w:highlight w:val="none"/>
            </w:rPr>
            <w:t>第97条</w:t>
          </w:r>
          <w:r>
            <w:rPr>
              <w:rFonts w:hint="eastAsia" w:ascii="方正仿宋_GB2312" w:hAnsi="方正仿宋_GB2312" w:eastAsia="方正仿宋_GB2312" w:cs="方正仿宋_GB2312"/>
              <w:sz w:val="21"/>
              <w:szCs w:val="21"/>
              <w:highlight w:val="none"/>
            </w:rPr>
            <w:t xml:space="preserve"> 加强规划政策保障</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_Toc21601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"_Toc4124" </w:instrText>
          </w:r>
          <w:r>
            <w:rPr>
              <w:highlight w:val="none"/>
            </w:rPr>
            <w:fldChar w:fldCharType="separate"/>
          </w:r>
          <w:r>
            <w:rPr>
              <w:rFonts w:hint="eastAsia" w:ascii="楷体" w:hAnsi="楷体" w:eastAsia="楷体" w:cs="楷体"/>
              <w:highlight w:val="none"/>
            </w:rPr>
            <w:t>第五节 规划环境影响评价</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_Toc4124 \h </w:instrText>
          </w:r>
          <w:r>
            <w:rPr>
              <w:rFonts w:hint="eastAsia" w:ascii="楷体" w:hAnsi="楷体" w:eastAsia="楷体" w:cs="楷体"/>
              <w:highlight w:val="none"/>
            </w:rPr>
            <w:fldChar w:fldCharType="separate"/>
          </w:r>
          <w:r>
            <w:rPr>
              <w:rFonts w:hint="eastAsia" w:ascii="楷体" w:hAnsi="楷体" w:eastAsia="楷体" w:cs="楷体"/>
              <w:highlight w:val="none"/>
            </w:rPr>
            <w:t>79</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"_Toc22742" </w:instrText>
          </w:r>
          <w:r>
            <w:rPr>
              <w:highlight w:val="none"/>
            </w:rPr>
            <w:fldChar w:fldCharType="separate"/>
          </w:r>
          <w:r>
            <w:rPr>
              <w:rFonts w:hint="eastAsia" w:ascii="方正仿宋_GB2312" w:hAnsi="方正仿宋_GB2312" w:eastAsia="方正仿宋_GB2312" w:cs="方正仿宋_GB2312"/>
              <w:b/>
              <w:bCs/>
              <w:sz w:val="21"/>
              <w:szCs w:val="21"/>
              <w:highlight w:val="none"/>
            </w:rPr>
            <w:t>第98条</w:t>
          </w:r>
          <w:r>
            <w:rPr>
              <w:rFonts w:hint="eastAsia" w:ascii="方正仿宋_GB2312" w:hAnsi="方正仿宋_GB2312" w:eastAsia="方正仿宋_GB2312" w:cs="方正仿宋_GB2312"/>
              <w:sz w:val="21"/>
              <w:szCs w:val="21"/>
              <w:highlight w:val="none"/>
            </w:rPr>
            <w:t xml:space="preserve"> 大气环境影响分析与评价</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_Toc22742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79</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"_Toc11676" </w:instrText>
          </w:r>
          <w:r>
            <w:rPr>
              <w:highlight w:val="none"/>
            </w:rPr>
            <w:fldChar w:fldCharType="separate"/>
          </w:r>
          <w:r>
            <w:rPr>
              <w:rFonts w:hint="eastAsia" w:ascii="方正仿宋_GB2312" w:hAnsi="方正仿宋_GB2312" w:eastAsia="方正仿宋_GB2312" w:cs="方正仿宋_GB2312"/>
              <w:b/>
              <w:bCs/>
              <w:sz w:val="21"/>
              <w:szCs w:val="21"/>
              <w:highlight w:val="none"/>
            </w:rPr>
            <w:t>第99条</w:t>
          </w:r>
          <w:r>
            <w:rPr>
              <w:rFonts w:hint="eastAsia" w:ascii="方正仿宋_GB2312" w:hAnsi="方正仿宋_GB2312" w:eastAsia="方正仿宋_GB2312" w:cs="方正仿宋_GB2312"/>
              <w:sz w:val="21"/>
              <w:szCs w:val="21"/>
              <w:highlight w:val="none"/>
            </w:rPr>
            <w:t xml:space="preserve"> 地表水环境影响分析与评价</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_Toc11676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80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"_Toc31322" </w:instrText>
          </w:r>
          <w:r>
            <w:rPr>
              <w:highlight w:val="none"/>
            </w:rPr>
            <w:fldChar w:fldCharType="separate"/>
          </w:r>
          <w:r>
            <w:rPr>
              <w:rFonts w:hint="eastAsia" w:ascii="方正仿宋_GB2312" w:hAnsi="方正仿宋_GB2312" w:eastAsia="方正仿宋_GB2312" w:cs="方正仿宋_GB2312"/>
              <w:b/>
              <w:bCs/>
              <w:sz w:val="21"/>
              <w:szCs w:val="21"/>
              <w:highlight w:val="none"/>
            </w:rPr>
            <w:t>第100条</w:t>
          </w:r>
          <w:r>
            <w:rPr>
              <w:rFonts w:hint="eastAsia" w:ascii="方正仿宋_GB2312" w:hAnsi="方正仿宋_GB2312" w:eastAsia="方正仿宋_GB2312" w:cs="方正仿宋_GB2312"/>
              <w:sz w:val="21"/>
              <w:szCs w:val="21"/>
              <w:highlight w:val="none"/>
            </w:rPr>
            <w:t xml:space="preserve"> 声环境影响分析与评价</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_Toc31322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80</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15"/>
            <w:tabs>
              <w:tab w:val="right" w:leader="dot" w:pos="8306"/>
            </w:tabs>
            <w:ind w:left="1200" w:firstLine="0" w:firstLineChars="0"/>
            <w:rPr>
              <w:rFonts w:ascii="方正仿宋_GB2312" w:hAnsi="方正仿宋_GB2312" w:eastAsia="方正仿宋_GB2312" w:cs="方正仿宋_GB2312"/>
              <w:sz w:val="21"/>
              <w:szCs w:val="21"/>
              <w:highlight w:val="none"/>
            </w:rPr>
          </w:pPr>
          <w:r>
            <w:rPr>
              <w:highlight w:val="none"/>
            </w:rPr>
            <w:fldChar w:fldCharType="begin"/>
          </w:r>
          <w:r>
            <w:rPr>
              <w:highlight w:val="none"/>
            </w:rPr>
            <w:instrText xml:space="preserve"> HYPERLINK \l "_Toc27423" </w:instrText>
          </w:r>
          <w:r>
            <w:rPr>
              <w:highlight w:val="none"/>
            </w:rPr>
            <w:fldChar w:fldCharType="separate"/>
          </w:r>
          <w:r>
            <w:rPr>
              <w:rFonts w:hint="eastAsia" w:ascii="方正仿宋_GB2312" w:hAnsi="方正仿宋_GB2312" w:eastAsia="方正仿宋_GB2312" w:cs="方正仿宋_GB2312"/>
              <w:b/>
              <w:bCs/>
              <w:sz w:val="21"/>
              <w:szCs w:val="21"/>
              <w:highlight w:val="none"/>
            </w:rPr>
            <w:t>第101条</w:t>
          </w:r>
          <w:r>
            <w:rPr>
              <w:rFonts w:hint="eastAsia" w:ascii="方正仿宋_GB2312" w:hAnsi="方正仿宋_GB2312" w:eastAsia="方正仿宋_GB2312" w:cs="方正仿宋_GB2312"/>
              <w:sz w:val="21"/>
              <w:szCs w:val="21"/>
              <w:highlight w:val="none"/>
            </w:rPr>
            <w:t xml:space="preserve"> 固体废物影响分析与评价</w:t>
          </w:r>
          <w:r>
            <w:rPr>
              <w:rFonts w:hint="eastAsia" w:ascii="方正仿宋_GB2312" w:hAnsi="方正仿宋_GB2312" w:eastAsia="方正仿宋_GB2312" w:cs="方正仿宋_GB2312"/>
              <w:sz w:val="21"/>
              <w:szCs w:val="21"/>
              <w:highlight w:val="none"/>
            </w:rPr>
            <w:tab/>
          </w:r>
          <w:r>
            <w:rPr>
              <w:rFonts w:hint="eastAsia" w:ascii="方正仿宋_GB2312" w:hAnsi="方正仿宋_GB2312" w:eastAsia="方正仿宋_GB2312" w:cs="方正仿宋_GB2312"/>
              <w:sz w:val="21"/>
              <w:szCs w:val="21"/>
              <w:highlight w:val="none"/>
            </w:rPr>
            <w:fldChar w:fldCharType="begin"/>
          </w:r>
          <w:r>
            <w:rPr>
              <w:rFonts w:hint="eastAsia" w:ascii="方正仿宋_GB2312" w:hAnsi="方正仿宋_GB2312" w:eastAsia="方正仿宋_GB2312" w:cs="方正仿宋_GB2312"/>
              <w:sz w:val="21"/>
              <w:szCs w:val="21"/>
              <w:highlight w:val="none"/>
            </w:rPr>
            <w:instrText xml:space="preserve"> PAGEREF _Toc27423 \h </w:instrText>
          </w:r>
          <w:r>
            <w:rPr>
              <w:rFonts w:hint="eastAsia" w:ascii="方正仿宋_GB2312" w:hAnsi="方正仿宋_GB2312" w:eastAsia="方正仿宋_GB2312" w:cs="方正仿宋_GB2312"/>
              <w:sz w:val="21"/>
              <w:szCs w:val="21"/>
              <w:highlight w:val="none"/>
            </w:rPr>
            <w:fldChar w:fldCharType="separate"/>
          </w:r>
          <w:r>
            <w:rPr>
              <w:rFonts w:hint="eastAsia" w:ascii="方正仿宋_GB2312" w:hAnsi="方正仿宋_GB2312" w:eastAsia="方正仿宋_GB2312" w:cs="方正仿宋_GB2312"/>
              <w:sz w:val="21"/>
              <w:szCs w:val="21"/>
              <w:highlight w:val="none"/>
            </w:rPr>
            <w:t>81</w:t>
          </w:r>
          <w:r>
            <w:rPr>
              <w:rFonts w:hint="eastAsia" w:ascii="方正仿宋_GB2312" w:hAnsi="方正仿宋_GB2312" w:eastAsia="方正仿宋_GB2312" w:cs="方正仿宋_GB2312"/>
              <w:sz w:val="21"/>
              <w:szCs w:val="21"/>
              <w:highlight w:val="none"/>
            </w:rPr>
            <w:fldChar w:fldCharType="end"/>
          </w:r>
          <w:r>
            <w:rPr>
              <w:rFonts w:hint="eastAsia" w:ascii="方正仿宋_GB2312" w:hAnsi="方正仿宋_GB2312" w:eastAsia="方正仿宋_GB2312" w:cs="方正仿宋_GB2312"/>
              <w:sz w:val="21"/>
              <w:szCs w:val="21"/>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"_Toc11075" </w:instrText>
          </w:r>
          <w:r>
            <w:rPr>
              <w:highlight w:val="none"/>
            </w:rPr>
            <w:fldChar w:fldCharType="separate"/>
          </w:r>
          <w:r>
            <w:rPr>
              <w:rFonts w:hint="eastAsia" w:ascii="楷体" w:hAnsi="楷体" w:eastAsia="楷体" w:cs="楷体"/>
              <w:highlight w:val="none"/>
            </w:rPr>
            <w:t>第六节 规划水资源论证</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_Toc11075 \h </w:instrText>
          </w:r>
          <w:r>
            <w:rPr>
              <w:rFonts w:hint="eastAsia" w:ascii="楷体" w:hAnsi="楷体" w:eastAsia="楷体" w:cs="楷体"/>
              <w:highlight w:val="none"/>
            </w:rPr>
            <w:fldChar w:fldCharType="separate"/>
          </w:r>
          <w:r>
            <w:rPr>
              <w:rFonts w:hint="eastAsia" w:ascii="楷体" w:hAnsi="楷体" w:eastAsia="楷体" w:cs="楷体"/>
              <w:highlight w:val="none"/>
            </w:rPr>
            <w:t>81</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20"/>
            <w:tabs>
              <w:tab w:val="right" w:leader="dot" w:pos="8306"/>
              <w:tab w:val="clear" w:pos="8296"/>
            </w:tabs>
            <w:ind w:firstLine="0" w:firstLineChars="0"/>
            <w:rPr>
              <w:rFonts w:ascii="楷体" w:hAnsi="楷体" w:eastAsia="楷体" w:cs="楷体"/>
              <w:highlight w:val="none"/>
            </w:rPr>
          </w:pPr>
          <w:r>
            <w:rPr>
              <w:highlight w:val="none"/>
            </w:rPr>
            <w:fldChar w:fldCharType="begin"/>
          </w:r>
          <w:r>
            <w:rPr>
              <w:highlight w:val="none"/>
            </w:rPr>
            <w:instrText xml:space="preserve"> HYPERLINK \l "_Toc11566" </w:instrText>
          </w:r>
          <w:r>
            <w:rPr>
              <w:highlight w:val="none"/>
            </w:rPr>
            <w:fldChar w:fldCharType="separate"/>
          </w:r>
          <w:r>
            <w:rPr>
              <w:rFonts w:hint="eastAsia" w:ascii="楷体" w:hAnsi="楷体" w:eastAsia="楷体" w:cs="楷体"/>
              <w:highlight w:val="none"/>
            </w:rPr>
            <w:t>附</w:t>
          </w:r>
          <w:r>
            <w:rPr>
              <w:rFonts w:hint="eastAsia" w:ascii="楷体" w:hAnsi="楷体" w:eastAsia="楷体" w:cs="楷体"/>
              <w:highlight w:val="none"/>
              <w:lang w:eastAsia="zh-CN"/>
            </w:rPr>
            <w:t>图</w:t>
          </w:r>
          <w:r>
            <w:rPr>
              <w:rFonts w:hint="eastAsia" w:ascii="楷体" w:hAnsi="楷体" w:eastAsia="楷体" w:cs="楷体"/>
              <w:highlight w:val="none"/>
            </w:rPr>
            <w:tab/>
          </w:r>
          <w:r>
            <w:rPr>
              <w:rFonts w:hint="eastAsia" w:ascii="楷体" w:hAnsi="楷体" w:eastAsia="楷体" w:cs="楷体"/>
              <w:highlight w:val="none"/>
            </w:rPr>
            <w:fldChar w:fldCharType="begin"/>
          </w:r>
          <w:r>
            <w:rPr>
              <w:rFonts w:hint="eastAsia" w:ascii="楷体" w:hAnsi="楷体" w:eastAsia="楷体" w:cs="楷体"/>
              <w:highlight w:val="none"/>
            </w:rPr>
            <w:instrText xml:space="preserve"> PAGEREF _Toc11566 \h </w:instrText>
          </w:r>
          <w:r>
            <w:rPr>
              <w:rFonts w:hint="eastAsia" w:ascii="楷体" w:hAnsi="楷体" w:eastAsia="楷体" w:cs="楷体"/>
              <w:highlight w:val="none"/>
            </w:rPr>
            <w:fldChar w:fldCharType="separate"/>
          </w:r>
          <w:r>
            <w:rPr>
              <w:rFonts w:hint="eastAsia" w:ascii="楷体" w:hAnsi="楷体" w:eastAsia="楷体" w:cs="楷体"/>
              <w:highlight w:val="none"/>
            </w:rPr>
            <w:t>83</w:t>
          </w:r>
          <w:r>
            <w:rPr>
              <w:rFonts w:hint="eastAsia" w:ascii="楷体" w:hAnsi="楷体" w:eastAsia="楷体" w:cs="楷体"/>
              <w:highlight w:val="none"/>
            </w:rPr>
            <w:fldChar w:fldCharType="end"/>
          </w:r>
          <w:r>
            <w:rPr>
              <w:rFonts w:hint="eastAsia" w:ascii="楷体" w:hAnsi="楷体" w:eastAsia="楷体" w:cs="楷体"/>
              <w:highlight w:val="none"/>
            </w:rPr>
            <w:fldChar w:fldCharType="end"/>
          </w:r>
        </w:p>
        <w:p>
          <w:pPr>
            <w:pStyle w:val="20"/>
            <w:tabs>
              <w:tab w:val="right" w:leader="dot" w:pos="8306"/>
              <w:tab w:val="clear" w:pos="8296"/>
            </w:tabs>
            <w:ind w:firstLine="0" w:firstLineChars="0"/>
            <w:rPr>
              <w:highlight w:val="none"/>
            </w:rPr>
          </w:pPr>
        </w:p>
        <w:p>
          <w:pPr>
            <w:jc w:val="center"/>
            <w:rPr>
              <w:highlight w:val="none"/>
            </w:rPr>
          </w:pPr>
          <w:r>
            <w:rPr>
              <w:rFonts w:hint="eastAsia" w:ascii="方正仿宋_GB2312" w:hAnsi="方正仿宋_GB2312" w:eastAsia="方正仿宋_GB2312" w:cs="方正仿宋_GB2312"/>
              <w:highlight w:val="none"/>
            </w:rPr>
            <w:fldChar w:fldCharType="end"/>
          </w:r>
        </w:p>
      </w:sdtContent>
    </w:sdt>
    <w:p>
      <w:pPr>
        <w:jc w:val="left"/>
        <w:rPr>
          <w:highlight w:val="none"/>
        </w:rPr>
      </w:pPr>
    </w:p>
    <w:p>
      <w:pPr>
        <w:rPr>
          <w:highlight w:val="none"/>
        </w:rPr>
      </w:pPr>
    </w:p>
    <w:p>
      <w:pPr>
        <w:pStyle w:val="20"/>
        <w:tabs>
          <w:tab w:val="right" w:leader="dot" w:pos="8306"/>
          <w:tab w:val="clear" w:pos="8296"/>
        </w:tabs>
        <w:ind w:firstLine="0" w:firstLineChars="0"/>
        <w:rPr>
          <w:highlight w:val="none"/>
        </w:rPr>
      </w:pPr>
    </w:p>
    <w:p>
      <w:pPr>
        <w:rPr>
          <w:highlight w:val="none"/>
        </w:rPr>
      </w:pPr>
    </w:p>
    <w:p>
      <w:pPr>
        <w:rPr>
          <w:highlight w:val="none"/>
        </w:rPr>
      </w:pPr>
    </w:p>
    <w:p>
      <w:pPr>
        <w:tabs>
          <w:tab w:val="left" w:pos="7044"/>
        </w:tabs>
        <w:jc w:val="left"/>
        <w:rPr>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NumType w:start="1"/>
          <w:cols w:space="425" w:num="1"/>
          <w:docGrid w:type="lines" w:linePitch="312" w:charSpace="0"/>
        </w:sectPr>
      </w:pPr>
      <w:r>
        <w:rPr>
          <w:rFonts w:hint="eastAsia"/>
          <w:highlight w:val="none"/>
        </w:rPr>
        <w:tab/>
      </w:r>
    </w:p>
    <w:p>
      <w:pPr>
        <w:spacing w:before="312" w:after="312"/>
        <w:ind w:firstLine="0" w:firstLineChars="0"/>
        <w:jc w:val="center"/>
        <w:rPr>
          <w:highlight w:val="none"/>
          <w:shd w:val="pct10" w:color="auto" w:fill="FFFFFF"/>
        </w:rPr>
      </w:pPr>
      <w:bookmarkStart w:id="23" w:name="_Toc27906"/>
      <w:bookmarkStart w:id="24" w:name="_Toc11985"/>
      <w:bookmarkStart w:id="25" w:name="_Toc716"/>
      <w:bookmarkStart w:id="26" w:name="_Toc26694"/>
      <w:bookmarkStart w:id="27" w:name="_Toc29040"/>
      <w:bookmarkStart w:id="28" w:name="_Toc5823"/>
      <w:bookmarkStart w:id="29" w:name="_Toc3186"/>
      <w:r>
        <w:rPr>
          <w:rFonts w:hint="eastAsia"/>
          <w:highlight w:val="none"/>
        </w:rPr>
        <w:t>前言</w:t>
      </w:r>
      <w:bookmarkEnd w:id="23"/>
      <w:bookmarkEnd w:id="24"/>
      <w:bookmarkEnd w:id="25"/>
    </w:p>
    <w:p>
      <w:pPr>
        <w:rPr>
          <w:highlight w:val="none"/>
        </w:rPr>
      </w:pPr>
      <w:r>
        <w:rPr>
          <w:rFonts w:hint="eastAsia"/>
          <w:highlight w:val="none"/>
        </w:rPr>
        <w:t>马头镇位于广东省北部，韶关市新丰县东部，地处粤北山区、粤港澳大湾区边缘。东邻河源市东源县，北接河源市连平县，南通惠州市龙门县，西靠丰城街道和黄</w:t>
      </w:r>
      <w:r>
        <w:rPr>
          <w:rFonts w:hint="eastAsia" w:ascii="方正仿宋_GB2312" w:hAnsi="方正仿宋_GB2312" w:eastAsia="方正仿宋_GB2312" w:cs="方正仿宋_GB2312"/>
          <w:highlight w:val="none"/>
        </w:rPr>
        <w:t>磜</w:t>
      </w:r>
      <w:r>
        <w:rPr>
          <w:rFonts w:hint="eastAsia"/>
          <w:highlight w:val="none"/>
        </w:rPr>
        <w:t>镇。按照党中央、国务院决策部署和广东省、韶关市工作要求，马头镇人民政府组织编制了《新丰县马头镇国土空间总体规划（2021—2035年）》（以下简称《规划》）。</w:t>
      </w:r>
    </w:p>
    <w:p>
      <w:pPr>
        <w:rPr>
          <w:highlight w:val="none"/>
        </w:rPr>
      </w:pPr>
      <w:r>
        <w:rPr>
          <w:rFonts w:hint="eastAsia"/>
          <w:highlight w:val="none"/>
        </w:rPr>
        <w:t>《规划》坚持以习近平新时代中国特色社会主义思想为指导，全面贯彻党的二十大精神，深入贯彻习近平总书记对广东系列重要讲话和重要指示精神，深入实施国家重大战略，全面落实省委、省政府与市委、市政府决策部署和县委、县政府工作要求，围绕高质量发展首要任务和构建新发展格局战略任务，强化马头镇作为县域副中心的主要职能，统筹安排全域全要素空间资源布局，支撑马头镇建设成广东省首批典型镇建设示范样板。</w:t>
      </w:r>
    </w:p>
    <w:p>
      <w:pPr>
        <w:rPr>
          <w:highlight w:val="none"/>
        </w:rPr>
      </w:pPr>
      <w:r>
        <w:rPr>
          <w:rFonts w:hint="eastAsia"/>
          <w:highlight w:val="none"/>
        </w:rPr>
        <w:t>《规划》是马头镇推动高质量发展的空间蓝图；是镇域国土空间保护、开发、利用、修复和指导各类建</w:t>
      </w:r>
      <w:bookmarkStart w:id="368" w:name="_GoBack"/>
      <w:bookmarkEnd w:id="368"/>
      <w:r>
        <w:rPr>
          <w:rFonts w:hint="eastAsia"/>
          <w:highlight w:val="none"/>
        </w:rPr>
        <w:t>设的指南，为开展各类开发保护建设活动提供基本依据。</w:t>
      </w:r>
    </w:p>
    <w:p>
      <w:pPr>
        <w:pStyle w:val="4"/>
        <w:numPr>
          <w:ilvl w:val="0"/>
          <w:numId w:val="5"/>
        </w:numPr>
        <w:spacing w:before="312" w:after="312"/>
        <w:ind w:left="0" w:firstLine="0"/>
        <w:rPr>
          <w:b w:val="0"/>
          <w:bCs w:val="0"/>
          <w:highlight w:val="none"/>
        </w:rPr>
        <w:sectPr>
          <w:pgSz w:w="11906" w:h="16838"/>
          <w:pgMar w:top="1440" w:right="1800" w:bottom="1440" w:left="1800" w:header="851" w:footer="992" w:gutter="0"/>
          <w:pgNumType w:start="1"/>
          <w:cols w:space="425" w:num="1"/>
          <w:docGrid w:type="lines" w:linePitch="312" w:charSpace="0"/>
        </w:sectPr>
      </w:pPr>
      <w:bookmarkStart w:id="30" w:name="_Toc24081"/>
    </w:p>
    <w:p>
      <w:pPr>
        <w:pStyle w:val="4"/>
        <w:numPr>
          <w:ilvl w:val="0"/>
          <w:numId w:val="5"/>
        </w:numPr>
        <w:spacing w:before="312" w:after="312"/>
        <w:ind w:left="0" w:firstLine="0"/>
        <w:rPr>
          <w:b w:val="0"/>
          <w:bCs w:val="0"/>
          <w:highlight w:val="none"/>
        </w:rPr>
      </w:pPr>
      <w:r>
        <w:rPr>
          <w:rFonts w:hint="eastAsia"/>
          <w:b w:val="0"/>
          <w:bCs w:val="0"/>
          <w:highlight w:val="none"/>
        </w:rPr>
        <w:t>总则</w:t>
      </w:r>
      <w:bookmarkEnd w:id="26"/>
      <w:bookmarkEnd w:id="27"/>
      <w:bookmarkEnd w:id="28"/>
      <w:bookmarkEnd w:id="29"/>
      <w:bookmarkEnd w:id="30"/>
    </w:p>
    <w:p>
      <w:pPr>
        <w:pStyle w:val="6"/>
        <w:rPr>
          <w:b w:val="0"/>
          <w:bCs w:val="0"/>
          <w:highlight w:val="none"/>
        </w:rPr>
      </w:pPr>
      <w:bookmarkStart w:id="31" w:name="_Toc18794"/>
      <w:bookmarkStart w:id="32" w:name="_Toc2332"/>
      <w:bookmarkStart w:id="33" w:name="_Toc15797"/>
      <w:bookmarkStart w:id="34" w:name="_Toc14791"/>
      <w:bookmarkStart w:id="35" w:name="_Toc10376"/>
      <w:r>
        <w:rPr>
          <w:rFonts w:hint="eastAsia"/>
          <w:b w:val="0"/>
          <w:bCs w:val="0"/>
          <w:highlight w:val="none"/>
        </w:rPr>
        <w:t>编制目的</w:t>
      </w:r>
      <w:bookmarkEnd w:id="31"/>
      <w:bookmarkEnd w:id="32"/>
      <w:bookmarkEnd w:id="33"/>
      <w:bookmarkEnd w:id="34"/>
      <w:bookmarkEnd w:id="35"/>
    </w:p>
    <w:p>
      <w:pPr>
        <w:rPr>
          <w:highlight w:val="none"/>
        </w:rPr>
      </w:pPr>
      <w:r>
        <w:rPr>
          <w:rFonts w:hint="eastAsia"/>
          <w:highlight w:val="none"/>
        </w:rPr>
        <w:t>为全面贯彻落实《中共中央国务院关于建立国土空间规划体系并监督实施的若干意见》（中发〔</w:t>
      </w:r>
      <w:r>
        <w:rPr>
          <w:highlight w:val="none"/>
        </w:rPr>
        <w:t>2019</w:t>
      </w:r>
      <w:r>
        <w:rPr>
          <w:rFonts w:hint="eastAsia"/>
          <w:highlight w:val="none"/>
        </w:rPr>
        <w:t>〕18号）、《中共广东省委广东省人民政府关于建立国土空间规划体系并监督实施的若干措施》（粤发〔2021〕5号），对马头镇行政辖区范围内国土空间开发保护作出总体安排和综合部署，为实施“百县千镇万村高质量发展工程”、“乡村振兴”战略提供空间保障，支撑马头镇高质量发展。根据国家、广东省、韶关市等法规政策和技术标准，以及《韶关市新丰县国土空间总体规划（2021—2035年）》相关要求，制定《新丰县马头镇国土空间总体规划（2021—2035年）》（以下简称“本规划”）。本规划是指导城乡各类开发建设活动、开展国土空间资源保护利用与修复、实施国土空间规划管理的蓝图，是编制详细规划的依据。</w:t>
      </w:r>
    </w:p>
    <w:p>
      <w:pPr>
        <w:pStyle w:val="6"/>
        <w:rPr>
          <w:b w:val="0"/>
          <w:bCs w:val="0"/>
          <w:highlight w:val="none"/>
        </w:rPr>
      </w:pPr>
      <w:bookmarkStart w:id="36" w:name="_Toc28761"/>
      <w:bookmarkStart w:id="37" w:name="_Toc25482"/>
      <w:bookmarkStart w:id="38" w:name="_Toc11418"/>
      <w:bookmarkStart w:id="39" w:name="_Toc4943"/>
      <w:bookmarkStart w:id="40" w:name="_Toc15521"/>
      <w:r>
        <w:rPr>
          <w:rFonts w:hint="eastAsia"/>
          <w:b w:val="0"/>
          <w:bCs w:val="0"/>
          <w:highlight w:val="none"/>
        </w:rPr>
        <w:t>指导思想</w:t>
      </w:r>
      <w:bookmarkEnd w:id="36"/>
      <w:bookmarkEnd w:id="37"/>
      <w:bookmarkEnd w:id="38"/>
      <w:bookmarkEnd w:id="39"/>
      <w:bookmarkEnd w:id="40"/>
    </w:p>
    <w:p>
      <w:pPr>
        <w:rPr>
          <w:highlight w:val="none"/>
        </w:rPr>
      </w:pPr>
      <w:r>
        <w:rPr>
          <w:rFonts w:hint="eastAsia"/>
          <w:highlight w:val="none"/>
        </w:rPr>
        <w:t>坚持以习近平新时代中国特色社会主义思想为指导，全面贯彻党的二十大精神，深入贯彻习近平总书记对广东系列重要讲话和重要指示精神，坚持走中国式现代化道路，立足新发展阶段，服务和融入新发展格局，统筹发展与安全，以推动高质量发展为主题，深入实施区域协调发展战略、主体功能区战略、新型城镇化战略、乡村振兴战略，全面落实省委、省政府及韶关市委、市政府决策部署和新丰县委、县政府工作要求，坚持高水平保护，支撑高质量发展，创造高品质生活，实现高效能治理，统筹安排全域全要素空间资源布局。</w:t>
      </w:r>
    </w:p>
    <w:p>
      <w:pPr>
        <w:pStyle w:val="6"/>
        <w:rPr>
          <w:b w:val="0"/>
          <w:bCs w:val="0"/>
          <w:highlight w:val="none"/>
        </w:rPr>
      </w:pPr>
      <w:bookmarkStart w:id="41" w:name="_Toc18022"/>
      <w:bookmarkStart w:id="42" w:name="_Toc29041"/>
      <w:bookmarkStart w:id="43" w:name="_Toc15832"/>
      <w:bookmarkStart w:id="44" w:name="_Toc7269"/>
      <w:bookmarkStart w:id="45" w:name="_Toc27871"/>
      <w:r>
        <w:rPr>
          <w:rFonts w:hint="eastAsia"/>
          <w:b w:val="0"/>
          <w:bCs w:val="0"/>
          <w:highlight w:val="none"/>
        </w:rPr>
        <w:t>规划依据</w:t>
      </w:r>
      <w:bookmarkEnd w:id="41"/>
      <w:bookmarkEnd w:id="42"/>
      <w:bookmarkEnd w:id="43"/>
      <w:bookmarkEnd w:id="44"/>
      <w:bookmarkEnd w:id="45"/>
    </w:p>
    <w:p>
      <w:pPr>
        <w:ind w:firstLine="560"/>
        <w:rPr>
          <w:sz w:val="28"/>
          <w:szCs w:val="28"/>
          <w:highlight w:val="none"/>
        </w:rPr>
      </w:pPr>
      <w:r>
        <w:rPr>
          <w:rFonts w:hint="eastAsia"/>
          <w:sz w:val="28"/>
          <w:szCs w:val="28"/>
          <w:highlight w:val="none"/>
        </w:rPr>
        <w:t>1.《中华人民共和国土地管理法》（2019年修正）</w:t>
      </w:r>
    </w:p>
    <w:p>
      <w:pPr>
        <w:ind w:firstLine="560"/>
        <w:rPr>
          <w:sz w:val="28"/>
          <w:szCs w:val="28"/>
          <w:highlight w:val="none"/>
        </w:rPr>
      </w:pPr>
      <w:r>
        <w:rPr>
          <w:rFonts w:hint="eastAsia"/>
          <w:sz w:val="28"/>
          <w:szCs w:val="28"/>
          <w:highlight w:val="none"/>
        </w:rPr>
        <w:t>2.《中华人民共和国城乡规划法》（2019年修正）</w:t>
      </w:r>
    </w:p>
    <w:p>
      <w:pPr>
        <w:rPr>
          <w:highlight w:val="none"/>
        </w:rPr>
      </w:pPr>
      <w:r>
        <w:rPr>
          <w:rFonts w:hint="eastAsia"/>
          <w:highlight w:val="none"/>
        </w:rPr>
        <w:t>3.《广东省土地管理条例》（2022年）</w:t>
      </w:r>
    </w:p>
    <w:p>
      <w:pPr>
        <w:rPr>
          <w:highlight w:val="none"/>
        </w:rPr>
      </w:pPr>
      <w:r>
        <w:rPr>
          <w:rFonts w:hint="eastAsia"/>
          <w:highlight w:val="none"/>
        </w:rPr>
        <w:t>4.《广东省城乡规划条例》（2012年）</w:t>
      </w:r>
    </w:p>
    <w:p>
      <w:pPr>
        <w:rPr>
          <w:highlight w:val="none"/>
        </w:rPr>
      </w:pPr>
      <w:r>
        <w:rPr>
          <w:rFonts w:hint="eastAsia"/>
          <w:highlight w:val="none"/>
        </w:rPr>
        <w:t>5.《中共中央 国务院关于建立国土空间规划体系并监督实施的若干意见》（中发〔2019〕18号）</w:t>
      </w:r>
    </w:p>
    <w:p>
      <w:pPr>
        <w:rPr>
          <w:highlight w:val="none"/>
        </w:rPr>
      </w:pPr>
      <w:r>
        <w:rPr>
          <w:rFonts w:hint="eastAsia"/>
          <w:highlight w:val="none"/>
        </w:rPr>
        <w:t>6.《中共中央办公厅 国务院办公厅印发〈关于在国土空间规划中统筹划定落实三条控制线的指导意见〉的通知》（厅字〔2019〕48号）</w:t>
      </w:r>
    </w:p>
    <w:p>
      <w:pPr>
        <w:rPr>
          <w:highlight w:val="none"/>
        </w:rPr>
      </w:pPr>
      <w:r>
        <w:rPr>
          <w:rFonts w:hint="eastAsia"/>
          <w:highlight w:val="none"/>
        </w:rPr>
        <w:t>7.《国土空间调查、规划、用途管制用地用海分类指南》（</w:t>
      </w:r>
      <w:r>
        <w:rPr>
          <w:highlight w:val="none"/>
        </w:rPr>
        <w:t>2020</w:t>
      </w:r>
      <w:r>
        <w:rPr>
          <w:rFonts w:hint="eastAsia"/>
          <w:highlight w:val="none"/>
        </w:rPr>
        <w:t>年试行）</w:t>
      </w:r>
    </w:p>
    <w:p>
      <w:pPr>
        <w:rPr>
          <w:highlight w:val="none"/>
        </w:rPr>
      </w:pPr>
      <w:r>
        <w:rPr>
          <w:rFonts w:hint="eastAsia"/>
          <w:highlight w:val="none"/>
        </w:rPr>
        <w:t>8.《中共广东省委 广东省人民政府印发〈关于建立国土空间规划体系并监督实施的若干措施〉的通知》（粤发〔2021〕5号）</w:t>
      </w:r>
    </w:p>
    <w:p>
      <w:pPr>
        <w:rPr>
          <w:highlight w:val="none"/>
        </w:rPr>
      </w:pPr>
      <w:bookmarkStart w:id="46" w:name="_Toc14165"/>
      <w:r>
        <w:rPr>
          <w:rFonts w:hint="eastAsia"/>
          <w:highlight w:val="none"/>
        </w:rPr>
        <w:t>9.《广东省镇级国土空间总体规划编制技术指南（试行）》</w:t>
      </w:r>
      <w:bookmarkEnd w:id="46"/>
    </w:p>
    <w:p>
      <w:pPr>
        <w:rPr>
          <w:highlight w:val="none"/>
        </w:rPr>
      </w:pPr>
      <w:r>
        <w:rPr>
          <w:rFonts w:hint="eastAsia"/>
          <w:highlight w:val="none"/>
        </w:rPr>
        <w:t>10.《广东省自然资源厅关于推进镇村国土空间规划编制实施，助力“百县千镇万村高质量发展工程”的通知》（粤自然资规划【2023】2202号）</w:t>
      </w:r>
    </w:p>
    <w:p>
      <w:pPr>
        <w:rPr>
          <w:highlight w:val="none"/>
        </w:rPr>
      </w:pPr>
      <w:bookmarkStart w:id="47" w:name="_Toc30921"/>
      <w:r>
        <w:rPr>
          <w:rFonts w:hint="eastAsia"/>
          <w:highlight w:val="none"/>
        </w:rPr>
        <w:t>11.《韶关市国土空间总体规划（2021—2035年）》</w:t>
      </w:r>
      <w:bookmarkEnd w:id="47"/>
    </w:p>
    <w:p>
      <w:pPr>
        <w:rPr>
          <w:highlight w:val="none"/>
        </w:rPr>
      </w:pPr>
      <w:r>
        <w:rPr>
          <w:rFonts w:hint="eastAsia"/>
          <w:highlight w:val="none"/>
        </w:rPr>
        <w:t>12.《韶关市国民经济和社会发展第十四个五年规划和二</w:t>
      </w:r>
      <w:r>
        <w:rPr>
          <w:rFonts w:hint="eastAsia" w:ascii="微软雅黑" w:hAnsi="微软雅黑" w:eastAsia="微软雅黑" w:cs="微软雅黑"/>
          <w:highlight w:val="none"/>
        </w:rPr>
        <w:t>〇</w:t>
      </w:r>
      <w:r>
        <w:rPr>
          <w:rFonts w:hint="eastAsia" w:ascii="仿宋_GB2312" w:hAnsi="仿宋_GB2312" w:cs="仿宋_GB2312"/>
          <w:highlight w:val="none"/>
        </w:rPr>
        <w:t>三五年远景目标纲要》</w:t>
      </w:r>
    </w:p>
    <w:p>
      <w:pPr>
        <w:rPr>
          <w:highlight w:val="none"/>
        </w:rPr>
      </w:pPr>
      <w:r>
        <w:rPr>
          <w:rFonts w:hint="eastAsia"/>
          <w:highlight w:val="none"/>
        </w:rPr>
        <w:t>13.《韶关市新丰县国土空间总体规划（2021—2035年）》</w:t>
      </w:r>
    </w:p>
    <w:p>
      <w:pPr>
        <w:rPr>
          <w:highlight w:val="none"/>
        </w:rPr>
      </w:pPr>
      <w:r>
        <w:rPr>
          <w:rFonts w:hint="eastAsia"/>
          <w:highlight w:val="none"/>
        </w:rPr>
        <w:t>14.《新丰县国民经济和社会发展第十四个五年规划和二</w:t>
      </w:r>
      <w:r>
        <w:rPr>
          <w:rFonts w:hint="eastAsia" w:ascii="微软雅黑" w:hAnsi="微软雅黑" w:eastAsia="微软雅黑" w:cs="微软雅黑"/>
          <w:highlight w:val="none"/>
        </w:rPr>
        <w:t>〇</w:t>
      </w:r>
      <w:r>
        <w:rPr>
          <w:rFonts w:hint="eastAsia" w:ascii="仿宋_GB2312" w:hAnsi="仿宋_GB2312" w:cs="仿宋_GB2312"/>
          <w:highlight w:val="none"/>
        </w:rPr>
        <w:t>三五年远景目标纲要》</w:t>
      </w:r>
    </w:p>
    <w:p>
      <w:pPr>
        <w:rPr>
          <w:highlight w:val="none"/>
        </w:rPr>
      </w:pPr>
      <w:bookmarkStart w:id="48" w:name="_Toc1941"/>
      <w:r>
        <w:rPr>
          <w:rFonts w:hint="eastAsia"/>
          <w:highlight w:val="none"/>
        </w:rPr>
        <w:t>15.其他相关法律、法规、政策文件及标准规范</w:t>
      </w:r>
      <w:bookmarkEnd w:id="48"/>
    </w:p>
    <w:p>
      <w:pPr>
        <w:pStyle w:val="6"/>
        <w:rPr>
          <w:b w:val="0"/>
          <w:bCs w:val="0"/>
          <w:highlight w:val="none"/>
        </w:rPr>
      </w:pPr>
      <w:bookmarkStart w:id="49" w:name="_Toc7436"/>
      <w:r>
        <w:rPr>
          <w:rFonts w:hint="eastAsia"/>
          <w:b w:val="0"/>
          <w:bCs w:val="0"/>
          <w:highlight w:val="none"/>
        </w:rPr>
        <w:t>规划原则</w:t>
      </w:r>
      <w:bookmarkEnd w:id="49"/>
    </w:p>
    <w:p>
      <w:pPr>
        <w:rPr>
          <w:highlight w:val="none"/>
        </w:rPr>
      </w:pPr>
      <w:r>
        <w:rPr>
          <w:rFonts w:hint="eastAsia"/>
          <w:highlight w:val="none"/>
        </w:rPr>
        <w:t>生态优先、绿色发展。全面落实生态文明建设要求，坚持底线思维，以资源环境承载力和国土空间开发适宜性评价为基础，保障生态、资源、环境等方面安全，优化国土空间格局，促进人与自然和谐共生，推动形成绿色发展方式和生活方式。</w:t>
      </w:r>
    </w:p>
    <w:p>
      <w:pPr>
        <w:rPr>
          <w:highlight w:val="none"/>
        </w:rPr>
      </w:pPr>
      <w:r>
        <w:rPr>
          <w:rFonts w:hint="eastAsia"/>
          <w:highlight w:val="none"/>
        </w:rPr>
        <w:t>全域统筹、镇村联动。加强镇域统筹和镇村联动，聚焦优化空间资源配置、集约用地布局，重点围绕镇村一体化建设，乡村空闲、低效建设空间的识别、腾挪和使用，耕地整治恢复，统筹安排耕地以及乡村振兴各项建设空间，提升镇村空间价值品质和乡村风貌。</w:t>
      </w:r>
    </w:p>
    <w:p>
      <w:pPr>
        <w:rPr>
          <w:highlight w:val="none"/>
        </w:rPr>
      </w:pPr>
      <w:r>
        <w:rPr>
          <w:rFonts w:hint="eastAsia"/>
          <w:highlight w:val="none"/>
        </w:rPr>
        <w:t>以人为本、提升品质。坚持“以人民为中心”，把人民对美好生活的向往作为出发点和落脚点，充分考虑经济社会发展目标和发展阶段，保障公共服务和公共空间供给，提升人居环境品质，为解决发展不平衡不充分的矛盾提供空间保障，不断提升城乡居民幸福感。</w:t>
      </w:r>
    </w:p>
    <w:p>
      <w:pPr>
        <w:jc w:val="left"/>
        <w:rPr>
          <w:color w:val="000000" w:themeColor="text1"/>
          <w:highlight w:val="none"/>
          <w14:textFill>
            <w14:solidFill>
              <w14:schemeClr w14:val="tx1"/>
            </w14:solidFill>
          </w14:textFill>
        </w:rPr>
      </w:pPr>
      <w:r>
        <w:rPr>
          <w:rFonts w:hint="eastAsia"/>
          <w:highlight w:val="none"/>
        </w:rPr>
        <w:t>文化保护、活化利用。对历史文化遗产及其环境的全面、有效保护与合理利用；</w:t>
      </w:r>
      <w:r>
        <w:rPr>
          <w:rFonts w:hint="eastAsia"/>
          <w:color w:val="000000" w:themeColor="text1"/>
          <w:highlight w:val="none"/>
          <w14:textFill>
            <w14:solidFill>
              <w14:schemeClr w14:val="tx1"/>
            </w14:solidFill>
          </w14:textFill>
        </w:rPr>
        <w:t>充分挖掘整合红色文化、江源文化、客家文化等文化资源，促进文化与旅游服务产业的深度融合，</w:t>
      </w:r>
      <w:r>
        <w:rPr>
          <w:rFonts w:hint="eastAsia"/>
          <w:highlight w:val="none"/>
        </w:rPr>
        <w:t>转化成面向大湾区的优秀旅游资源，改善城镇环境，适应当代生活的物质和精神需求，推动地方文化建设，促进经济、社会综合发展。</w:t>
      </w:r>
    </w:p>
    <w:p>
      <w:pPr>
        <w:rPr>
          <w:rFonts w:eastAsia="仿宋" w:cs="Times New Roman"/>
          <w:szCs w:val="28"/>
          <w:highlight w:val="none"/>
        </w:rPr>
      </w:pPr>
      <w:r>
        <w:rPr>
          <w:rFonts w:hint="eastAsia"/>
          <w:highlight w:val="none"/>
        </w:rPr>
        <w:t>全域整治、存量挖潜。以全域土地综合整治思维优化资源要素，以全域的尺度统筹安排各类用地，严控增量、盘活存量，节约集约用地，提高建设用地的使用效率，切实提升国土空间开发利用质量和效益，加快推进马头镇高质量发展。</w:t>
      </w:r>
    </w:p>
    <w:p>
      <w:pPr>
        <w:pStyle w:val="6"/>
        <w:rPr>
          <w:b w:val="0"/>
          <w:bCs w:val="0"/>
          <w:highlight w:val="none"/>
        </w:rPr>
      </w:pPr>
      <w:bookmarkStart w:id="50" w:name="_Toc10956"/>
      <w:r>
        <w:rPr>
          <w:rFonts w:hint="eastAsia"/>
          <w:b w:val="0"/>
          <w:bCs w:val="0"/>
          <w:highlight w:val="none"/>
        </w:rPr>
        <w:t>规划期限</w:t>
      </w:r>
      <w:bookmarkEnd w:id="50"/>
    </w:p>
    <w:p>
      <w:pPr>
        <w:rPr>
          <w:highlight w:val="none"/>
        </w:rPr>
      </w:pPr>
      <w:r>
        <w:rPr>
          <w:rFonts w:hint="eastAsia"/>
          <w:highlight w:val="none"/>
        </w:rPr>
        <w:t>本规划基期年为2020年，规划期限为2021年至2035年，近期至2025年，规划目标年为2035年，远景展望至2050年。</w:t>
      </w:r>
    </w:p>
    <w:p>
      <w:pPr>
        <w:pStyle w:val="6"/>
        <w:rPr>
          <w:b w:val="0"/>
          <w:bCs w:val="0"/>
          <w:highlight w:val="none"/>
        </w:rPr>
      </w:pPr>
      <w:bookmarkStart w:id="51" w:name="_Toc26660"/>
      <w:r>
        <w:rPr>
          <w:rFonts w:hint="eastAsia"/>
          <w:b w:val="0"/>
          <w:bCs w:val="0"/>
          <w:highlight w:val="none"/>
        </w:rPr>
        <w:t>规划范围</w:t>
      </w:r>
      <w:bookmarkEnd w:id="51"/>
    </w:p>
    <w:p>
      <w:pPr>
        <w:rPr>
          <w:color w:val="C00000"/>
          <w:highlight w:val="none"/>
        </w:rPr>
      </w:pPr>
      <w:r>
        <w:rPr>
          <w:rFonts w:hint="eastAsia"/>
          <w:highlight w:val="none"/>
        </w:rPr>
        <w:t>本规划国土空间范围包含镇域和镇区两个层次，镇域范围包括马头镇行政辖区内全部陆域，包含</w:t>
      </w:r>
      <w:r>
        <w:rPr>
          <w:rStyle w:val="59"/>
          <w:rFonts w:hint="eastAsia"/>
          <w:highlight w:val="none"/>
        </w:rPr>
        <w:t>马头社区、</w:t>
      </w:r>
      <w:r>
        <w:rPr>
          <w:rStyle w:val="59"/>
          <w:highlight w:val="none"/>
        </w:rPr>
        <w:t>石角社区、大席社区3个社区和坪山村、塘尾村、岭头村、寨下村、水背村、文义村、路下村、石角村、桐木山村、横岭村、湾田村、罗陂村、上湾村、层坑村、军一村、军二村、军三村、科罗村、张田坑村、福水村、乌石岗村、秀田村、秀坑村、大陂村、潭石村、湖塘村、雅盖村、雅坑村、</w:t>
      </w:r>
      <w:r>
        <w:rPr>
          <w:rStyle w:val="59"/>
          <w:rFonts w:hint="eastAsia"/>
          <w:highlight w:val="none"/>
          <w:lang w:eastAsia="zh-CN"/>
        </w:rPr>
        <w:t>姜坑</w:t>
      </w:r>
      <w:r>
        <w:rPr>
          <w:rStyle w:val="59"/>
          <w:rFonts w:hint="eastAsia"/>
          <w:highlight w:val="none"/>
        </w:rPr>
        <w:t>村</w:t>
      </w:r>
      <w:r>
        <w:rPr>
          <w:rStyle w:val="59"/>
          <w:highlight w:val="none"/>
        </w:rPr>
        <w:t>、板岭下村</w:t>
      </w:r>
      <w:r>
        <w:rPr>
          <w:rStyle w:val="59"/>
          <w:rFonts w:hint="eastAsia"/>
          <w:highlight w:val="none"/>
        </w:rPr>
        <w:t>及马头林场，</w:t>
      </w:r>
      <w:r>
        <w:rPr>
          <w:rFonts w:hint="eastAsia"/>
          <w:highlight w:val="none"/>
        </w:rPr>
        <w:t>镇域总面积509.47平方公里。镇区范围包含湖塘村域范围及雅盖村部分用地，总面积为337.89公顷。</w:t>
      </w:r>
    </w:p>
    <w:p>
      <w:pPr>
        <w:pStyle w:val="6"/>
        <w:rPr>
          <w:b w:val="0"/>
          <w:bCs w:val="0"/>
          <w:highlight w:val="none"/>
        </w:rPr>
      </w:pPr>
      <w:bookmarkStart w:id="52" w:name="_Toc22698"/>
      <w:bookmarkStart w:id="53" w:name="_Toc19191"/>
      <w:bookmarkStart w:id="54" w:name="_Toc26951"/>
      <w:bookmarkStart w:id="55" w:name="_Toc26042"/>
      <w:bookmarkStart w:id="56" w:name="_Toc3052"/>
      <w:r>
        <w:rPr>
          <w:rFonts w:hint="eastAsia"/>
          <w:b w:val="0"/>
          <w:bCs w:val="0"/>
          <w:highlight w:val="none"/>
        </w:rPr>
        <w:t>强制性内容</w:t>
      </w:r>
      <w:bookmarkEnd w:id="52"/>
      <w:bookmarkEnd w:id="53"/>
      <w:bookmarkEnd w:id="54"/>
      <w:bookmarkEnd w:id="55"/>
      <w:bookmarkEnd w:id="56"/>
    </w:p>
    <w:p>
      <w:pPr>
        <w:rPr>
          <w:highlight w:val="none"/>
        </w:rPr>
      </w:pPr>
      <w:bookmarkStart w:id="57" w:name="_Toc18757"/>
      <w:bookmarkStart w:id="58" w:name="_Toc8060"/>
      <w:bookmarkStart w:id="59" w:name="_Toc13192"/>
      <w:bookmarkStart w:id="60" w:name="_Toc23414"/>
      <w:bookmarkStart w:id="61" w:name="_Toc32521"/>
      <w:r>
        <w:rPr>
          <w:rFonts w:hint="eastAsia"/>
          <w:highlight w:val="none"/>
        </w:rPr>
        <w:t>文本中下划线内容以及附表中约束性指标为规划强制性内容。本规划自韶关市人民政府批复之日后生效，由马头镇人民政府组织实施，任何单位和个人不得违反和擅自修改。因国家重大战略调整、国家重大项目建设、行政区划调整、经评估确需调整等情形，需按国土空间规划法定程序进行修改。</w:t>
      </w:r>
    </w:p>
    <w:p>
      <w:pPr>
        <w:pStyle w:val="6"/>
        <w:rPr>
          <w:b w:val="0"/>
          <w:bCs w:val="0"/>
          <w:highlight w:val="none"/>
        </w:rPr>
      </w:pPr>
      <w:r>
        <w:rPr>
          <w:rFonts w:hint="eastAsia"/>
          <w:b w:val="0"/>
          <w:bCs w:val="0"/>
          <w:highlight w:val="none"/>
        </w:rPr>
        <w:t>规划解释</w:t>
      </w:r>
      <w:bookmarkEnd w:id="57"/>
      <w:bookmarkEnd w:id="58"/>
      <w:bookmarkEnd w:id="59"/>
      <w:bookmarkEnd w:id="60"/>
      <w:bookmarkEnd w:id="61"/>
    </w:p>
    <w:p>
      <w:pPr>
        <w:rPr>
          <w:highlight w:val="none"/>
        </w:rPr>
      </w:pPr>
      <w:r>
        <w:rPr>
          <w:rFonts w:hint="eastAsia"/>
          <w:highlight w:val="none"/>
        </w:rPr>
        <w:t>本规划由马头镇人民政府负责解释。</w:t>
      </w:r>
    </w:p>
    <w:p>
      <w:pPr>
        <w:rPr>
          <w:highlight w:val="none"/>
        </w:rPr>
      </w:pPr>
      <w:r>
        <w:rPr>
          <w:rFonts w:hint="eastAsia"/>
          <w:highlight w:val="none"/>
        </w:rPr>
        <w:br w:type="page"/>
      </w:r>
    </w:p>
    <w:p>
      <w:pPr>
        <w:pStyle w:val="4"/>
        <w:numPr>
          <w:ilvl w:val="0"/>
          <w:numId w:val="5"/>
        </w:numPr>
        <w:spacing w:before="312" w:after="312"/>
        <w:ind w:left="0" w:firstLine="0"/>
        <w:rPr>
          <w:b w:val="0"/>
          <w:bCs w:val="0"/>
          <w:highlight w:val="none"/>
        </w:rPr>
      </w:pPr>
      <w:bookmarkStart w:id="62" w:name="_Toc16439"/>
      <w:bookmarkStart w:id="63" w:name="_Toc28918"/>
      <w:bookmarkStart w:id="64" w:name="_Toc4278"/>
      <w:bookmarkStart w:id="65" w:name="_Toc32398"/>
      <w:bookmarkStart w:id="66" w:name="_Toc13847"/>
      <w:r>
        <w:rPr>
          <w:rFonts w:hint="eastAsia"/>
          <w:b w:val="0"/>
          <w:bCs w:val="0"/>
          <w:highlight w:val="none"/>
        </w:rPr>
        <w:t>现状基础</w:t>
      </w:r>
      <w:bookmarkEnd w:id="62"/>
    </w:p>
    <w:p>
      <w:pPr>
        <w:pStyle w:val="6"/>
        <w:rPr>
          <w:b w:val="0"/>
          <w:bCs w:val="0"/>
          <w:highlight w:val="none"/>
        </w:rPr>
      </w:pPr>
      <w:bookmarkStart w:id="67" w:name="_Toc6790"/>
      <w:r>
        <w:rPr>
          <w:rFonts w:hint="eastAsia"/>
          <w:b w:val="0"/>
          <w:bCs w:val="0"/>
          <w:highlight w:val="none"/>
        </w:rPr>
        <w:t>现状基数</w:t>
      </w:r>
      <w:bookmarkEnd w:id="67"/>
    </w:p>
    <w:p>
      <w:pPr>
        <w:rPr>
          <w:highlight w:val="none"/>
        </w:rPr>
      </w:pPr>
      <w:r>
        <w:rPr>
          <w:rFonts w:hint="eastAsia"/>
          <w:highlight w:val="none"/>
        </w:rPr>
        <w:t>按照2020年度国土变更调查成果</w:t>
      </w:r>
      <w:r>
        <w:rPr>
          <w:rStyle w:val="28"/>
          <w:rFonts w:hint="eastAsia"/>
          <w:highlight w:val="none"/>
        </w:rPr>
        <w:footnoteReference w:id="0"/>
      </w:r>
      <w:r>
        <w:rPr>
          <w:rFonts w:hint="eastAsia"/>
          <w:highlight w:val="none"/>
        </w:rPr>
        <w:t>，全镇陆域国土面积为509.47平方公里，包括了农用地490.52平方公里，占镇域面积的96.28%，建设用地13.37平方公里占镇域面积的2.62%，未利用地5.58平方公里，占镇域面积的1.10%。农用地包括耕地21.72平方公里、园地10.46平方公里、林地451.26平方公里、陆地水域5.81平方公里、其他土地0.04平方公里、农业设施建设用地1.23平方公里；建设用地包括城乡建设用地9.76平方公里、区域基础设施用地2.30平方公里、其他建设用地1.31平方公里；未利用地包括草地1.87平方公里、湿地0.28平方公里、陆地水域3.43平方公里。</w:t>
      </w:r>
    </w:p>
    <w:p>
      <w:pPr>
        <w:rPr>
          <w:highlight w:val="none"/>
        </w:rPr>
      </w:pPr>
      <w:r>
        <w:rPr>
          <w:rFonts w:hint="eastAsia"/>
          <w:highlight w:val="none"/>
        </w:rPr>
        <w:t>根据第七次人口普查数据公报，马头镇常住人口为20119人</w:t>
      </w:r>
      <w:r>
        <w:rPr>
          <w:rStyle w:val="28"/>
          <w:rFonts w:hint="eastAsia"/>
          <w:highlight w:val="none"/>
        </w:rPr>
        <w:footnoteReference w:id="1"/>
      </w:r>
      <w:r>
        <w:rPr>
          <w:rFonts w:hint="eastAsia"/>
          <w:highlight w:val="none"/>
        </w:rPr>
        <w:t>。马头镇区常住人口约为2591人，城镇化率约为12.87%。户籍人口46367人。</w:t>
      </w:r>
      <w:r>
        <w:rPr>
          <w:rStyle w:val="28"/>
          <w:rFonts w:hint="eastAsia"/>
          <w:highlight w:val="none"/>
        </w:rPr>
        <w:footnoteReference w:id="2"/>
      </w:r>
    </w:p>
    <w:p>
      <w:pPr>
        <w:pStyle w:val="6"/>
        <w:rPr>
          <w:b w:val="0"/>
          <w:bCs w:val="0"/>
          <w:highlight w:val="none"/>
        </w:rPr>
      </w:pPr>
      <w:bookmarkStart w:id="68" w:name="_Toc627"/>
      <w:r>
        <w:rPr>
          <w:rFonts w:hint="eastAsia"/>
          <w:b w:val="0"/>
          <w:bCs w:val="0"/>
          <w:highlight w:val="none"/>
        </w:rPr>
        <w:t>资源环境承载能力和国土空间开发适宜性评价</w:t>
      </w:r>
      <w:bookmarkEnd w:id="68"/>
    </w:p>
    <w:p>
      <w:pPr>
        <w:rPr>
          <w:highlight w:val="none"/>
        </w:rPr>
      </w:pPr>
      <w:r>
        <w:rPr>
          <w:rFonts w:hint="eastAsia"/>
          <w:highlight w:val="none"/>
        </w:rPr>
        <w:t>生态保护重要性评价。全镇生态保护极重要区占镇域土地总面积的75.63</w:t>
      </w:r>
      <w:r>
        <w:rPr>
          <w:highlight w:val="none"/>
        </w:rPr>
        <w:t>%</w:t>
      </w:r>
      <w:r>
        <w:rPr>
          <w:rFonts w:hint="eastAsia"/>
          <w:highlight w:val="none"/>
        </w:rPr>
        <w:t>，主要分布在镇域东部和南部海拔较高的山地区域，包括自然保护区、国家级湿地公园、地方级森林公园等重要生物多样性维护区、水源涵养区等生态敏感区。生态保护重要区占镇域土地总面积的14.67</w:t>
      </w:r>
      <w:r>
        <w:rPr>
          <w:highlight w:val="none"/>
        </w:rPr>
        <w:t>%</w:t>
      </w:r>
      <w:r>
        <w:rPr>
          <w:rFonts w:hint="eastAsia"/>
          <w:highlight w:val="none"/>
        </w:rPr>
        <w:t>，主要分布在镇域西部和中部。</w:t>
      </w:r>
    </w:p>
    <w:p>
      <w:pPr>
        <w:rPr>
          <w:highlight w:val="none"/>
        </w:rPr>
      </w:pPr>
      <w:r>
        <w:rPr>
          <w:rFonts w:hint="eastAsia"/>
          <w:highlight w:val="none"/>
        </w:rPr>
        <w:t>农业生产适宜性。马头镇农业生产适宜区占镇域国土面积的17.12</w:t>
      </w:r>
      <w:r>
        <w:rPr>
          <w:highlight w:val="none"/>
        </w:rPr>
        <w:t>%</w:t>
      </w:r>
      <w:r>
        <w:rPr>
          <w:rFonts w:hint="eastAsia"/>
          <w:highlight w:val="none"/>
        </w:rPr>
        <w:t>，主要分布在镇域西部和中部镇域等地势平坦区域，国土空间农业生产适宜性高。农业生产不适宜区占镇域总面积7.24%，主要是坡度25°以上的陡坡地和土层浅薄的石灰岩地区。</w:t>
      </w:r>
    </w:p>
    <w:p>
      <w:pPr>
        <w:rPr>
          <w:highlight w:val="none"/>
        </w:rPr>
      </w:pPr>
      <w:r>
        <w:rPr>
          <w:rFonts w:hint="eastAsia"/>
          <w:highlight w:val="none"/>
        </w:rPr>
        <w:t>城镇建设适宜性。马头镇城镇建设适宜区占镇域国土面积的17.27</w:t>
      </w:r>
      <w:r>
        <w:rPr>
          <w:highlight w:val="none"/>
        </w:rPr>
        <w:t>%</w:t>
      </w:r>
      <w:r>
        <w:rPr>
          <w:rFonts w:hint="eastAsia"/>
          <w:highlight w:val="none"/>
        </w:rPr>
        <w:t>，主要分布在镇域中部地形平坦的盆地和河谷平原区域。城镇开发不适宜区占镇域总面积7.1%。城镇建设适宜区与农业生产适宜区有高度重叠性，镇域国土空间城镇建设适宜性高。</w:t>
      </w:r>
    </w:p>
    <w:p>
      <w:pPr>
        <w:pStyle w:val="6"/>
        <w:rPr>
          <w:b w:val="0"/>
          <w:bCs w:val="0"/>
          <w:highlight w:val="none"/>
        </w:rPr>
      </w:pPr>
      <w:bookmarkStart w:id="69" w:name="_Toc15955"/>
      <w:r>
        <w:rPr>
          <w:rFonts w:hint="eastAsia"/>
          <w:b w:val="0"/>
          <w:bCs w:val="0"/>
          <w:highlight w:val="none"/>
        </w:rPr>
        <w:t>国土空间开发保护问题</w:t>
      </w:r>
      <w:bookmarkEnd w:id="69"/>
    </w:p>
    <w:p>
      <w:pPr>
        <w:rPr>
          <w:highlight w:val="none"/>
        </w:rPr>
      </w:pPr>
      <w:r>
        <w:rPr>
          <w:rFonts w:hint="eastAsia"/>
          <w:highlight w:val="none"/>
        </w:rPr>
        <w:t>耕地碎片化情况有待改善。整体农用地布局分散，耕地碎片化较明显，农用地整治潜力不足，规模连片化程度不高，</w:t>
      </w:r>
      <w:r>
        <w:rPr>
          <w:highlight w:val="none"/>
        </w:rPr>
        <w:t>耕作成本高、生产效益低</w:t>
      </w:r>
      <w:r>
        <w:rPr>
          <w:rFonts w:hint="eastAsia"/>
          <w:highlight w:val="none"/>
        </w:rPr>
        <w:t>，不利于农业连片发展、规模经营。</w:t>
      </w:r>
      <w:r>
        <w:rPr>
          <w:highlight w:val="none"/>
        </w:rPr>
        <w:t xml:space="preserve"> </w:t>
      </w:r>
    </w:p>
    <w:p>
      <w:pPr>
        <w:rPr>
          <w:highlight w:val="none"/>
        </w:rPr>
      </w:pPr>
      <w:r>
        <w:rPr>
          <w:rFonts w:hint="eastAsia"/>
          <w:highlight w:val="none"/>
        </w:rPr>
        <w:t>生态资源保护压力较大。新丰是典型“九山半水半分田”的山区县，森林覆盖率高达81.15%。其中，马头镇全镇生态保护极重要区占镇域土地总面积的75.63</w:t>
      </w:r>
      <w:r>
        <w:rPr>
          <w:highlight w:val="none"/>
        </w:rPr>
        <w:t>%</w:t>
      </w:r>
      <w:r>
        <w:rPr>
          <w:rFonts w:hint="eastAsia"/>
          <w:highlight w:val="none"/>
        </w:rPr>
        <w:t>，生态保护重要区占镇域土地总面积的14.67</w:t>
      </w:r>
      <w:r>
        <w:rPr>
          <w:highlight w:val="none"/>
        </w:rPr>
        <w:t>%</w:t>
      </w:r>
      <w:r>
        <w:rPr>
          <w:rFonts w:hint="eastAsia"/>
          <w:highlight w:val="none"/>
        </w:rPr>
        <w:t>，生态保护压力较大。</w:t>
      </w:r>
    </w:p>
    <w:p>
      <w:pPr>
        <w:rPr>
          <w:highlight w:val="none"/>
        </w:rPr>
      </w:pPr>
      <w:bookmarkStart w:id="70" w:name="_Hlk143537301"/>
      <w:bookmarkStart w:id="71" w:name="_Hlk145947549"/>
      <w:r>
        <w:rPr>
          <w:rFonts w:hint="eastAsia"/>
          <w:highlight w:val="none"/>
        </w:rPr>
        <w:t>地质灾害存在一定风险。马头镇灾害类型以小型崩塌、滑坡为主，存在少量中型地质灾害；地质灾害体主要为强风化花岗岩、强风化砂岩及残坡积土；地质灾害诱因主要为极端暴雨天气，地质灾害成因以人类工程活动为主，大多数为削坡过陡所导致；自然成因的地质灾害发育少，但一般其规模、危害均较大。每年雨季为地质灾害的高发期，主要集中在丘陵、低山地区。</w:t>
      </w:r>
    </w:p>
    <w:p>
      <w:pPr>
        <w:rPr>
          <w:highlight w:val="none"/>
        </w:rPr>
      </w:pPr>
      <w:r>
        <w:rPr>
          <w:rFonts w:hint="eastAsia"/>
          <w:highlight w:val="none"/>
        </w:rPr>
        <w:t>气象灾害风险易发生。马头镇属于中亚热带湿润型季风气候，天气复杂多变，春季天气较不稳定，部分年份出现持续低温阴雨及倒春寒，甚至可能出现春季干旱。夏季雨水资源丰富，雨涝等气象灾害偶发，受地形、地势影响，迎风坡降雨较背风坡多，易发洪涝、泥石流等灾害。</w:t>
      </w:r>
    </w:p>
    <w:bookmarkEnd w:id="70"/>
    <w:bookmarkEnd w:id="71"/>
    <w:p>
      <w:pPr>
        <w:rPr>
          <w:highlight w:val="none"/>
        </w:rPr>
      </w:pPr>
      <w:r>
        <w:rPr>
          <w:rFonts w:hint="eastAsia"/>
          <w:highlight w:val="none"/>
        </w:rPr>
        <w:t>特色资源开发利用不足。马头镇地处九连山脉延伸地带，地势西北高，东南低，中东部为丘陵台地区，南部为山间峡谷地带。地质主要为前坭盆纪砂页岩发育的</w:t>
      </w:r>
      <w:r>
        <w:rPr>
          <w:highlight w:val="none"/>
        </w:rPr>
        <w:fldChar w:fldCharType="begin"/>
      </w:r>
      <w:r>
        <w:rPr>
          <w:highlight w:val="none"/>
        </w:rPr>
        <w:instrText xml:space="preserve"> HYPERLINK "https://baike.baidu.com/item/%E8%B5%A4%E7%BA%A2%E5%A3%A4/0?fromModule=lemma_inlink" \t "https://baike.baidu.com/item/%E9%A9%AC%E5%A4%B4%E9%95%87/_blank" </w:instrText>
      </w:r>
      <w:r>
        <w:rPr>
          <w:highlight w:val="none"/>
        </w:rPr>
        <w:fldChar w:fldCharType="separate"/>
      </w:r>
      <w:r>
        <w:rPr>
          <w:highlight w:val="none"/>
        </w:rPr>
        <w:t>赤红壤</w:t>
      </w:r>
      <w:r>
        <w:rPr>
          <w:highlight w:val="none"/>
        </w:rPr>
        <w:fldChar w:fldCharType="end"/>
      </w:r>
      <w:r>
        <w:rPr>
          <w:rFonts w:hint="eastAsia"/>
          <w:highlight w:val="none"/>
        </w:rPr>
        <w:t>。区域内农业资源丰富，水库、鱼塘、溪流遍布，“山、水、林、田”资源完整，具有一定的生态价值、研学价值，但现状尚未得到良好的开发利用，特色资源的优势和发展潜力挖掘力度不足。</w:t>
      </w:r>
    </w:p>
    <w:p>
      <w:pPr>
        <w:rPr>
          <w:highlight w:val="none"/>
        </w:rPr>
      </w:pPr>
      <w:r>
        <w:rPr>
          <w:rFonts w:hint="eastAsia"/>
          <w:highlight w:val="none"/>
        </w:rPr>
        <w:t>镇区综合承载能力和辐射带动能力仍需加强。马头镇积极推进公共服务、市政基础设施建设，已建成新丰县（马头）区域性敬老院，解决了新丰县部分区域的养老问题，但尚未形成完善的公服系统，教育及文化活动设施有待完善；基础设施基本满足需求。另外，马头镇区有较大产业园，镇区商业服务配套规模较小，难以匹配，缺乏具有辐射力的商圈，综合服务水平仍待提升。</w:t>
      </w:r>
    </w:p>
    <w:p>
      <w:pPr>
        <w:rPr>
          <w:highlight w:val="none"/>
        </w:rPr>
      </w:pPr>
      <w:r>
        <w:rPr>
          <w:rFonts w:hint="eastAsia"/>
          <w:color w:val="000000" w:themeColor="text1"/>
          <w:szCs w:val="24"/>
          <w:highlight w:val="none"/>
          <w14:textFill>
            <w14:solidFill>
              <w14:schemeClr w14:val="tx1"/>
            </w14:solidFill>
          </w14:textFill>
        </w:rPr>
        <w:t>村庄存量空间潜力较大。镇域内低效用地的规模较大，主要为“三清三拆”产生的村庄内部空心的情况，未能形成合理的空间结构，空间布局分散，土地利用低效。</w:t>
      </w:r>
      <w:r>
        <w:rPr>
          <w:rFonts w:hint="eastAsia"/>
          <w:highlight w:val="none"/>
        </w:rPr>
        <w:br w:type="page"/>
      </w:r>
    </w:p>
    <w:bookmarkEnd w:id="63"/>
    <w:bookmarkEnd w:id="64"/>
    <w:bookmarkEnd w:id="65"/>
    <w:bookmarkEnd w:id="66"/>
    <w:p>
      <w:pPr>
        <w:pStyle w:val="4"/>
        <w:numPr>
          <w:ilvl w:val="0"/>
          <w:numId w:val="5"/>
        </w:numPr>
        <w:spacing w:before="312" w:after="312"/>
        <w:ind w:left="0" w:firstLine="0"/>
        <w:rPr>
          <w:b w:val="0"/>
          <w:bCs w:val="0"/>
          <w:highlight w:val="none"/>
        </w:rPr>
      </w:pPr>
      <w:bookmarkStart w:id="72" w:name="_Toc24822"/>
      <w:bookmarkStart w:id="73" w:name="_Toc26414"/>
      <w:bookmarkStart w:id="74" w:name="_Toc4358"/>
      <w:bookmarkStart w:id="75" w:name="_Toc26762"/>
      <w:bookmarkStart w:id="76" w:name="_Toc16288"/>
      <w:r>
        <w:rPr>
          <w:rFonts w:hint="eastAsia"/>
          <w:b w:val="0"/>
          <w:bCs w:val="0"/>
          <w:highlight w:val="none"/>
        </w:rPr>
        <w:t>目标定位</w:t>
      </w:r>
      <w:bookmarkEnd w:id="72"/>
      <w:bookmarkEnd w:id="73"/>
      <w:bookmarkEnd w:id="74"/>
      <w:bookmarkEnd w:id="75"/>
      <w:bookmarkEnd w:id="76"/>
    </w:p>
    <w:p>
      <w:pPr>
        <w:pStyle w:val="6"/>
        <w:rPr>
          <w:b w:val="0"/>
          <w:bCs w:val="0"/>
          <w:highlight w:val="none"/>
        </w:rPr>
      </w:pPr>
      <w:bookmarkStart w:id="77" w:name="_Toc5045"/>
      <w:bookmarkStart w:id="78" w:name="_Toc26217"/>
      <w:bookmarkStart w:id="79" w:name="_Toc27286"/>
      <w:bookmarkStart w:id="80" w:name="_Toc28891"/>
      <w:r>
        <w:rPr>
          <w:rFonts w:hint="eastAsia"/>
          <w:b w:val="0"/>
          <w:bCs w:val="0"/>
          <w:highlight w:val="none"/>
        </w:rPr>
        <w:t>目标</w:t>
      </w:r>
      <w:bookmarkEnd w:id="77"/>
      <w:bookmarkEnd w:id="78"/>
      <w:bookmarkEnd w:id="79"/>
      <w:r>
        <w:rPr>
          <w:rFonts w:hint="eastAsia"/>
          <w:b w:val="0"/>
          <w:bCs w:val="0"/>
          <w:highlight w:val="none"/>
        </w:rPr>
        <w:t>愿景</w:t>
      </w:r>
      <w:bookmarkEnd w:id="80"/>
    </w:p>
    <w:p>
      <w:pPr>
        <w:rPr>
          <w:highlight w:val="none"/>
        </w:rPr>
      </w:pPr>
      <w:r>
        <w:rPr>
          <w:rFonts w:hint="eastAsia"/>
          <w:highlight w:val="none"/>
        </w:rPr>
        <w:t>按照马头镇经济发展融入“双区”</w:t>
      </w:r>
      <w:r>
        <w:rPr>
          <w:rStyle w:val="28"/>
          <w:rFonts w:hint="eastAsia"/>
          <w:highlight w:val="none"/>
        </w:rPr>
        <w:footnoteReference w:id="3"/>
      </w:r>
      <w:r>
        <w:rPr>
          <w:rFonts w:hint="eastAsia"/>
          <w:highlight w:val="none"/>
        </w:rPr>
        <w:t>，助力新丰县打造成为</w:t>
      </w:r>
      <w:bookmarkStart w:id="81" w:name="_Hlk145694637"/>
      <w:r>
        <w:rPr>
          <w:rFonts w:hint="eastAsia"/>
          <w:highlight w:val="none"/>
        </w:rPr>
        <w:t>广东省</w:t>
      </w:r>
      <w:bookmarkEnd w:id="81"/>
      <w:r>
        <w:rPr>
          <w:rFonts w:hint="eastAsia"/>
          <w:highlight w:val="none"/>
        </w:rPr>
        <w:t>绿色经济和产业转移重要基地。充分发挥马头镇优越的循环工业产业、生态农产品资源、红色历史资源和山水资源优势，突出生态引领，推动绿色发展。</w:t>
      </w:r>
    </w:p>
    <w:p>
      <w:pPr>
        <w:rPr>
          <w:highlight w:val="none"/>
        </w:rPr>
      </w:pPr>
      <w:r>
        <w:rPr>
          <w:rFonts w:hint="eastAsia"/>
          <w:highlight w:val="none"/>
        </w:rPr>
        <w:t>到2025年，经济实力进一步增强，产业结构优化升级，传统优势产业进一步巩固提升，新兴产业加快发展，形成能源电力、生态农业、休闲旅游等特色支柱产业。初步建设成为绿色工业强劲、旅游特色明显、农业生产优质的综合服务型城镇。</w:t>
      </w:r>
    </w:p>
    <w:p>
      <w:pPr>
        <w:rPr>
          <w:highlight w:val="none"/>
        </w:rPr>
      </w:pPr>
      <w:r>
        <w:rPr>
          <w:rFonts w:hint="eastAsia"/>
          <w:highlight w:val="none"/>
        </w:rPr>
        <w:t>到2035年，基本实现社会主义现代化，经济社会发展融入“双区”，粮食安全基础更加稳固，助力粤北生态屏障更加牢固。国土空间开发利用效率和水平显著提升，全面建设成集化工生产、循环经济、旅游商贸、特色农业综合发展的县域副中心城镇。</w:t>
      </w:r>
    </w:p>
    <w:p>
      <w:pPr>
        <w:rPr>
          <w:highlight w:val="none"/>
        </w:rPr>
      </w:pPr>
      <w:bookmarkStart w:id="82" w:name="_Toc15281"/>
      <w:r>
        <w:rPr>
          <w:rFonts w:hint="eastAsia"/>
          <w:highlight w:val="none"/>
        </w:rPr>
        <w:t>到2050年，马头镇城乡发展完成深度融和，国土空间保护开发科学有序，全面实现建成富强民主文明和谐美丽的社会主义现代化强镇。</w:t>
      </w:r>
    </w:p>
    <w:p>
      <w:pPr>
        <w:pStyle w:val="6"/>
        <w:rPr>
          <w:b w:val="0"/>
          <w:bCs w:val="0"/>
          <w:highlight w:val="none"/>
        </w:rPr>
      </w:pPr>
      <w:bookmarkStart w:id="83" w:name="_Toc14853"/>
      <w:bookmarkStart w:id="84" w:name="_Toc900"/>
      <w:bookmarkStart w:id="85" w:name="_Toc23629"/>
      <w:bookmarkStart w:id="86" w:name="_Toc4986"/>
      <w:r>
        <w:rPr>
          <w:rFonts w:hint="eastAsia"/>
          <w:b w:val="0"/>
          <w:bCs w:val="0"/>
          <w:highlight w:val="none"/>
        </w:rPr>
        <w:t>城镇性质</w:t>
      </w:r>
      <w:bookmarkEnd w:id="82"/>
      <w:bookmarkEnd w:id="83"/>
      <w:bookmarkEnd w:id="84"/>
      <w:bookmarkEnd w:id="85"/>
      <w:bookmarkEnd w:id="86"/>
    </w:p>
    <w:p>
      <w:pPr>
        <w:ind w:firstLine="602"/>
        <w:rPr>
          <w:highlight w:val="none"/>
        </w:rPr>
      </w:pPr>
      <w:r>
        <w:rPr>
          <w:rFonts w:hint="eastAsia"/>
          <w:b/>
          <w:bCs/>
          <w:highlight w:val="none"/>
        </w:rPr>
        <w:t>新丰县融湾产业示范基地。</w:t>
      </w:r>
      <w:r>
        <w:rPr>
          <w:rFonts w:hint="eastAsia"/>
          <w:highlight w:val="none"/>
        </w:rPr>
        <w:t>助力打造韶关市深莞韶协作发展轴，加强与大湾区核心城市的发展联动。以马头园工业园为基础，依托大广高速马头出入口、现状国道105形成的融湾交通网络体系，重点发展新型环保材料、环保涂料、新型环保建材、新能源材料、环保餐具制造，积极培育新能源及循环经济，打造新丰县融湾产业示范基地。</w:t>
      </w:r>
    </w:p>
    <w:p>
      <w:pPr>
        <w:ind w:firstLine="602"/>
        <w:rPr>
          <w:highlight w:val="none"/>
        </w:rPr>
      </w:pPr>
      <w:r>
        <w:rPr>
          <w:rFonts w:hint="eastAsia"/>
          <w:b/>
          <w:bCs/>
          <w:highlight w:val="none"/>
        </w:rPr>
        <w:t>新丰县东部综合服务副中心。</w:t>
      </w:r>
      <w:r>
        <w:rPr>
          <w:rFonts w:hint="eastAsia"/>
          <w:highlight w:val="none"/>
        </w:rPr>
        <w:t>马头镇围绕新丰县“融入珠三角、服务大湾区，生态富民立县”发展战略，大力发展商贸物流等特色产业，承担工业制造、商贸物流等职能。通过加快实施“百千万工程”，高质量提升圩镇综合服务功能，打造主动服务湾区的绿色低碳城镇，新丰县东部综合服务副中心。</w:t>
      </w:r>
    </w:p>
    <w:p>
      <w:pPr>
        <w:ind w:firstLine="602"/>
        <w:rPr>
          <w:highlight w:val="none"/>
        </w:rPr>
      </w:pPr>
      <w:r>
        <w:rPr>
          <w:rFonts w:hint="eastAsia"/>
          <w:b/>
          <w:bCs/>
          <w:highlight w:val="none"/>
        </w:rPr>
        <w:t>红色农旅融合示范镇。</w:t>
      </w:r>
      <w:r>
        <w:rPr>
          <w:rFonts w:hint="eastAsia"/>
          <w:highlight w:val="none"/>
        </w:rPr>
        <w:t>以马头镇红色文化、新丰江江源文化为线索，结合九栋十八井村、秀田古树等古建筑以及八大农业特色产业等融合发展，形成红色江源、农业精品的马头形象，促进马头镇旅游产业的发展，建设成为新丰江上游的中心城镇，打造红色农旅融合示范镇。</w:t>
      </w:r>
    </w:p>
    <w:p>
      <w:pPr>
        <w:pStyle w:val="6"/>
        <w:rPr>
          <w:b w:val="0"/>
          <w:bCs w:val="0"/>
          <w:highlight w:val="none"/>
        </w:rPr>
      </w:pPr>
      <w:bookmarkStart w:id="87" w:name="_Toc4904"/>
      <w:r>
        <w:rPr>
          <w:rFonts w:hint="eastAsia"/>
          <w:b w:val="0"/>
          <w:bCs w:val="0"/>
          <w:highlight w:val="none"/>
        </w:rPr>
        <w:t>国土空间开发保护策略</w:t>
      </w:r>
      <w:bookmarkEnd w:id="87"/>
    </w:p>
    <w:p>
      <w:pPr>
        <w:rPr>
          <w:highlight w:val="none"/>
        </w:rPr>
      </w:pPr>
      <w:r>
        <w:rPr>
          <w:rFonts w:hint="eastAsia"/>
          <w:highlight w:val="none"/>
        </w:rPr>
        <w:t>筑牢生态屏障，谋求绿色发展。落实最严格的生态环境保护制度，夯实马头镇九连山脉区域的国土生态安全格局，为筑牢粤北生态屏障提供强力支撑。系统推进新丰江流域治理修复，加强对生态岸线、河漫滩的保护与利用，修复岸线阻断点，保障河道的连通性，构建碧道、绿道的生态廊道体系，保护生物多样性，坚持产业发展与生态环境相协调，积极推进马头园生态产业化和产业生态化，发展循环经济，打造“两山”转化和生态产品价值实现路径，建设绿美马头。</w:t>
      </w:r>
    </w:p>
    <w:p>
      <w:pPr>
        <w:rPr>
          <w:highlight w:val="none"/>
        </w:rPr>
      </w:pPr>
      <w:r>
        <w:rPr>
          <w:rFonts w:hint="eastAsia"/>
          <w:highlight w:val="none"/>
        </w:rPr>
        <w:t>全域统筹布局，镇村联动发展。推进马头镇区扩容提质，实现强心聚核，增强马头区域辐射能力，以镇村联动全域一盘棋谋划国土空间、产业发展、镇村体系、人居环境、基础设施、公共服务设施和旅游配套服务设施布局，提高镇域设施服务水平。以国道105、省道259、省道341、县道850等交通干线形成的发展轴线为依托，协同农业产业园、聚园兴农业鸽场、八仙顶森林康养旅游区等重点村庄发展项目，带动具备一定基础和具有发展潜力的村提升产业经济效能，紧扣马头镇发展功能定位，各村庄分工协作、联动发展。</w:t>
      </w:r>
    </w:p>
    <w:p>
      <w:pPr>
        <w:rPr>
          <w:highlight w:val="none"/>
        </w:rPr>
      </w:pPr>
      <w:r>
        <w:rPr>
          <w:rFonts w:hint="eastAsia"/>
          <w:highlight w:val="none"/>
        </w:rPr>
        <w:t>加强文旅融合，产业特色发展。加大对“江源胜地，哺育湾区”的营销力度，推广“饮水思源感恩之旅”精品旅游线路，以马头镇红色基因教育基地、“仰红堂”等为着力点，推动红色旅游发展，通过特色引领，深入挖掘马头鲁古河、新丰江等自然景观，积极整合新丰江源文化、客家文化等文化资源，促进文化与旅游深度融合，转化成面向大湾区的优秀旅游资源，与区域旅游资料共同构筑食住游购全链条旅游体验。依托马头镇农业特色资源优势和自然风景优美的地缘优势，构筑以农产品种植、加工为一体、一二三产联动发展的特色产业化体系。</w:t>
      </w:r>
    </w:p>
    <w:p>
      <w:pPr>
        <w:pStyle w:val="6"/>
        <w:rPr>
          <w:b w:val="0"/>
          <w:bCs w:val="0"/>
          <w:highlight w:val="none"/>
        </w:rPr>
      </w:pPr>
      <w:bookmarkStart w:id="88" w:name="_Toc23172"/>
      <w:bookmarkStart w:id="89" w:name="_Toc26544"/>
      <w:bookmarkStart w:id="90" w:name="_Toc17532"/>
      <w:bookmarkStart w:id="91" w:name="_Toc29775"/>
      <w:bookmarkStart w:id="92" w:name="_Toc27305"/>
      <w:r>
        <w:rPr>
          <w:rFonts w:hint="eastAsia"/>
          <w:b w:val="0"/>
          <w:bCs w:val="0"/>
          <w:highlight w:val="none"/>
        </w:rPr>
        <w:t>城镇规模</w:t>
      </w:r>
      <w:bookmarkEnd w:id="88"/>
      <w:bookmarkEnd w:id="89"/>
      <w:bookmarkEnd w:id="90"/>
      <w:bookmarkEnd w:id="91"/>
      <w:bookmarkEnd w:id="92"/>
    </w:p>
    <w:p>
      <w:pPr>
        <w:rPr>
          <w:highlight w:val="none"/>
        </w:rPr>
      </w:pPr>
      <w:r>
        <w:rPr>
          <w:rFonts w:hint="eastAsia"/>
          <w:highlight w:val="none"/>
        </w:rPr>
        <w:t>合理预测人口规模与城镇化水平。规划至2035年，镇域常住人口2.1万人，其中城镇常住人口0.4万人，常住人口城镇化率约为20%。按照人口规模进行基础设施和公共服务设施配套，确保人口资源环境和城镇空间战略定位相协调，服务保障能力与城镇空间战略定位相适应。</w:t>
      </w:r>
    </w:p>
    <w:p>
      <w:pPr>
        <w:rPr>
          <w:highlight w:val="none"/>
          <w:u w:val="single"/>
        </w:rPr>
      </w:pPr>
      <w:r>
        <w:rPr>
          <w:rFonts w:hint="eastAsia"/>
          <w:highlight w:val="none"/>
        </w:rPr>
        <w:t>坚持节约集约利用土地。持续推进存量低效用地再开发，推进土地综合整治和城乡建设用地增减挂钩，优先保障重点平台、重大项目和民生项目，逐步引导土地利用方式从增量扩张向增量与存量并重转变。引导城镇建设用地混合利用，规划至</w:t>
      </w:r>
      <w:r>
        <w:rPr>
          <w:highlight w:val="none"/>
        </w:rPr>
        <w:t>2035</w:t>
      </w:r>
      <w:r>
        <w:rPr>
          <w:rFonts w:hint="eastAsia"/>
          <w:highlight w:val="none"/>
        </w:rPr>
        <w:t>年，</w:t>
      </w:r>
      <w:r>
        <w:rPr>
          <w:rFonts w:hint="eastAsia"/>
          <w:highlight w:val="none"/>
          <w:u w:val="single"/>
        </w:rPr>
        <w:t>镇域人均城镇建设用地均为</w:t>
      </w:r>
      <w:r>
        <w:rPr>
          <w:highlight w:val="none"/>
          <w:u w:val="single"/>
        </w:rPr>
        <w:t>120</w:t>
      </w:r>
      <w:r>
        <w:rPr>
          <w:rFonts w:hint="eastAsia"/>
          <w:highlight w:val="none"/>
          <w:u w:val="single"/>
        </w:rPr>
        <w:t>平方米，镇区人均城镇建设用地120平方米。</w:t>
      </w:r>
    </w:p>
    <w:p>
      <w:pPr>
        <w:pStyle w:val="6"/>
        <w:rPr>
          <w:b w:val="0"/>
          <w:bCs w:val="0"/>
          <w:highlight w:val="none"/>
        </w:rPr>
      </w:pPr>
      <w:bookmarkStart w:id="93" w:name="_Toc13661"/>
      <w:bookmarkStart w:id="94" w:name="_Toc11225"/>
      <w:bookmarkStart w:id="95" w:name="_Toc14924"/>
      <w:bookmarkStart w:id="96" w:name="_Toc11709"/>
      <w:r>
        <w:rPr>
          <w:rFonts w:hint="eastAsia"/>
          <w:b w:val="0"/>
          <w:bCs w:val="0"/>
          <w:highlight w:val="none"/>
        </w:rPr>
        <w:t>国土空间规划指标体系</w:t>
      </w:r>
      <w:bookmarkEnd w:id="93"/>
      <w:bookmarkEnd w:id="94"/>
      <w:bookmarkEnd w:id="95"/>
      <w:bookmarkEnd w:id="96"/>
    </w:p>
    <w:p>
      <w:pPr>
        <w:rPr>
          <w:highlight w:val="none"/>
        </w:rPr>
      </w:pPr>
      <w:r>
        <w:rPr>
          <w:rFonts w:hint="eastAsia"/>
          <w:highlight w:val="none"/>
        </w:rPr>
        <w:t>科学构建规划指标体系。马头镇确定空间底线、空间结构与效率、空间品质等3大类、共21项指标。其中，分为6项约束性指标和15项预期性指标，实行差异化管控。</w:t>
      </w:r>
    </w:p>
    <w:p>
      <w:pPr>
        <w:rPr>
          <w:highlight w:val="none"/>
        </w:rPr>
      </w:pPr>
      <w:r>
        <w:rPr>
          <w:rFonts w:hint="eastAsia"/>
          <w:highlight w:val="none"/>
        </w:rPr>
        <w:t>强化战略引领和底线管控作用，严格落实新丰县国土空间总体规划下达的生态保护红线面积、永久基本农田保护面积、耕地保有量等约束性指标，在规划期内不得突破，按照马头镇主体功能区和国土空间开发保护格局，坚持统筹协调和分类管控的原则，因地制宜引导资源差异化配置，推动全镇各村差异化协调发展。</w:t>
      </w:r>
    </w:p>
    <w:p>
      <w:pPr>
        <w:rPr>
          <w:highlight w:val="none"/>
        </w:rPr>
      </w:pPr>
      <w:r>
        <w:rPr>
          <w:rFonts w:hint="eastAsia"/>
          <w:highlight w:val="none"/>
        </w:rPr>
        <w:t>引导预期性指标良性发展。坚持统筹协调和分类指导，按照马头镇国土空间开发利用和保护格局，引导森林覆盖率、常住人口规模、每千名老年人养老床位数等预期性指标按照经济社会发展预期合理发展，可根据全镇重点工作安排进行动态优化。</w:t>
      </w:r>
    </w:p>
    <w:p>
      <w:pPr>
        <w:pStyle w:val="4"/>
        <w:numPr>
          <w:ilvl w:val="0"/>
          <w:numId w:val="5"/>
        </w:numPr>
        <w:spacing w:before="312" w:after="312"/>
        <w:ind w:left="0" w:firstLine="0"/>
        <w:rPr>
          <w:b w:val="0"/>
          <w:bCs w:val="0"/>
          <w:highlight w:val="none"/>
        </w:rPr>
      </w:pPr>
      <w:bookmarkStart w:id="97" w:name="_Toc21038"/>
      <w:bookmarkStart w:id="98" w:name="_Toc2206"/>
      <w:bookmarkStart w:id="99" w:name="_Toc5505"/>
      <w:bookmarkStart w:id="100" w:name="_Toc15075"/>
      <w:bookmarkStart w:id="101" w:name="_Toc10730"/>
      <w:r>
        <w:rPr>
          <w:rFonts w:hint="eastAsia"/>
          <w:b w:val="0"/>
          <w:bCs w:val="0"/>
          <w:highlight w:val="none"/>
        </w:rPr>
        <w:t>国土空间格局</w:t>
      </w:r>
      <w:bookmarkEnd w:id="97"/>
    </w:p>
    <w:p>
      <w:pPr>
        <w:pStyle w:val="5"/>
        <w:spacing w:before="156" w:beforeLines="50" w:after="156" w:afterLines="50"/>
        <w:rPr>
          <w:highlight w:val="none"/>
        </w:rPr>
      </w:pPr>
      <w:bookmarkStart w:id="102" w:name="_Toc7811"/>
      <w:r>
        <w:rPr>
          <w:rFonts w:hint="eastAsia"/>
          <w:highlight w:val="none"/>
        </w:rPr>
        <w:t>国土空间开发保护格局</w:t>
      </w:r>
      <w:bookmarkEnd w:id="102"/>
    </w:p>
    <w:p>
      <w:pPr>
        <w:pStyle w:val="6"/>
        <w:rPr>
          <w:b w:val="0"/>
          <w:bCs w:val="0"/>
          <w:highlight w:val="none"/>
        </w:rPr>
      </w:pPr>
      <w:bookmarkStart w:id="103" w:name="_Toc18678"/>
      <w:r>
        <w:rPr>
          <w:rFonts w:hint="eastAsia"/>
          <w:b w:val="0"/>
          <w:bCs w:val="0"/>
          <w:highlight w:val="none"/>
        </w:rPr>
        <w:t>国土空间开发保护格局</w:t>
      </w:r>
      <w:bookmarkEnd w:id="103"/>
    </w:p>
    <w:p>
      <w:pPr>
        <w:rPr>
          <w:highlight w:val="none"/>
        </w:rPr>
      </w:pPr>
      <w:r>
        <w:rPr>
          <w:rFonts w:hint="eastAsia"/>
          <w:highlight w:val="none"/>
        </w:rPr>
        <w:t>衔接《新丰县国土空间总体规划（2021—2035年）》“</w:t>
      </w:r>
      <w:bookmarkStart w:id="104" w:name="_Hlk145940314"/>
      <w:bookmarkStart w:id="105" w:name="_Hlk145939464"/>
      <w:r>
        <w:rPr>
          <w:rFonts w:hint="eastAsia"/>
          <w:highlight w:val="none"/>
        </w:rPr>
        <w:t>一核引领、两屏维育、两轴支撑</w:t>
      </w:r>
      <w:bookmarkEnd w:id="104"/>
      <w:r>
        <w:rPr>
          <w:rFonts w:hint="eastAsia"/>
          <w:highlight w:val="none"/>
        </w:rPr>
        <w:t>、三区共荣</w:t>
      </w:r>
      <w:bookmarkEnd w:id="105"/>
      <w:r>
        <w:rPr>
          <w:rFonts w:hint="eastAsia"/>
          <w:highlight w:val="none"/>
        </w:rPr>
        <w:t>”的国土空间开发保护格局，结合自然条件、发展基础和城镇空间发展方向，规划形成“一核，两轴，三区”的国土空间开发保护格局。</w:t>
      </w:r>
    </w:p>
    <w:p>
      <w:pPr>
        <w:rPr>
          <w:highlight w:val="none"/>
        </w:rPr>
      </w:pPr>
      <w:r>
        <w:rPr>
          <w:rFonts w:hint="eastAsia"/>
          <w:highlight w:val="none"/>
        </w:rPr>
        <w:t>一核：城镇综合服务中心。</w:t>
      </w:r>
    </w:p>
    <w:p>
      <w:pPr>
        <w:rPr>
          <w:highlight w:val="none"/>
        </w:rPr>
      </w:pPr>
      <w:r>
        <w:rPr>
          <w:rFonts w:hint="eastAsia"/>
          <w:highlight w:val="none"/>
        </w:rPr>
        <w:t>马头镇镇区，以</w:t>
      </w:r>
      <w:r>
        <w:rPr>
          <w:highlight w:val="none"/>
        </w:rPr>
        <w:t>完善马头民生基础设施为</w:t>
      </w:r>
      <w:r>
        <w:rPr>
          <w:rFonts w:hint="eastAsia"/>
          <w:highlight w:val="none"/>
        </w:rPr>
        <w:t>主要任务</w:t>
      </w:r>
      <w:r>
        <w:rPr>
          <w:highlight w:val="none"/>
        </w:rPr>
        <w:t>，全面提升马头公共服务设施水平以及市政设施配套</w:t>
      </w:r>
      <w:r>
        <w:rPr>
          <w:rFonts w:hint="eastAsia"/>
          <w:highlight w:val="none"/>
        </w:rPr>
        <w:t>。包括工业园配套物流园、停车场、人才公寓，着力打造产业核心，提升城镇综合服务功能。同时聚焦工业园区发展，加快推进循环经济产业园建设，积极培育新能源及循环经济产业。</w:t>
      </w:r>
    </w:p>
    <w:p>
      <w:pPr>
        <w:rPr>
          <w:highlight w:val="none"/>
        </w:rPr>
      </w:pPr>
      <w:r>
        <w:rPr>
          <w:rFonts w:hint="eastAsia"/>
          <w:highlight w:val="none"/>
        </w:rPr>
        <w:t>两轴：城镇发展主轴，城镇发展次轴。</w:t>
      </w:r>
    </w:p>
    <w:p>
      <w:pPr>
        <w:rPr>
          <w:highlight w:val="none"/>
        </w:rPr>
      </w:pPr>
      <w:r>
        <w:rPr>
          <w:rFonts w:hint="eastAsia"/>
          <w:highlight w:val="none"/>
        </w:rPr>
        <w:t>城镇发展主轴：依托国道G105线、省道S341、县道X850线形成以新型工业集聚、新型城镇化为重点的人口集聚、产业集聚的发展轴，重点串联韶关融湾南部产业平台，回龙镇、新丰县中心城区等区域。</w:t>
      </w:r>
    </w:p>
    <w:p>
      <w:pPr>
        <w:rPr>
          <w:highlight w:val="none"/>
        </w:rPr>
      </w:pPr>
      <w:r>
        <w:rPr>
          <w:rFonts w:hint="eastAsia"/>
          <w:highlight w:val="none"/>
        </w:rPr>
        <w:t>城镇发展次轴：形成一条带动城乡产业发展和城乡建设空间有序集中的发展轴；以省道S259串联周边田园综合体、农业产业园形成产业集聚发展轴。</w:t>
      </w:r>
    </w:p>
    <w:p>
      <w:pPr>
        <w:rPr>
          <w:highlight w:val="none"/>
        </w:rPr>
      </w:pPr>
      <w:r>
        <w:rPr>
          <w:rFonts w:hint="eastAsia"/>
          <w:highlight w:val="none"/>
        </w:rPr>
        <w:t>三区：粮食、特色农产品主产区、生态农业发展区及休闲农业发展区。</w:t>
      </w:r>
    </w:p>
    <w:p>
      <w:pPr>
        <w:rPr>
          <w:highlight w:val="none"/>
        </w:rPr>
      </w:pPr>
      <w:r>
        <w:rPr>
          <w:rFonts w:hint="eastAsia"/>
          <w:highlight w:val="none"/>
        </w:rPr>
        <w:t>粮食、特色农产品主产区：积极推进蔬稻产业深加工产业园建设，主要发展绿色生态的蔬菜-稻米（渔）和农业休闲旅游，为粤港澳大湾区提供优质粮食产品、特色农产品和休闲农产品。</w:t>
      </w:r>
    </w:p>
    <w:p>
      <w:pPr>
        <w:rPr>
          <w:highlight w:val="none"/>
        </w:rPr>
      </w:pPr>
      <w:r>
        <w:rPr>
          <w:rFonts w:hint="eastAsia"/>
          <w:highlight w:val="none"/>
        </w:rPr>
        <w:t>生态农业发展区：以桐木山生态温泉度假小镇项目为引擎，依靠红色旅游资源以及生态资源发展乡村旅游业，开发建设旅游景点。围绕“石角豆腐”品牌效力，发展豆腐产业链，同时依靠江源发展高密度养鱼业，发展绿色高效生态农业。</w:t>
      </w:r>
    </w:p>
    <w:p>
      <w:pPr>
        <w:rPr>
          <w:highlight w:val="none"/>
        </w:rPr>
      </w:pPr>
      <w:r>
        <w:rPr>
          <w:rFonts w:hint="eastAsia"/>
          <w:highlight w:val="none"/>
        </w:rPr>
        <w:t>休闲农业发展区：结合当地农耕文化、客家文化和红色文化，以文促旅规划发展生态农业观光旅游路线。大力发挥片区红薯种植的地理优势，做好红薯深加工，延伸产业链，开发桃花岛+红薯+研学旅游路线。</w:t>
      </w:r>
    </w:p>
    <w:p>
      <w:pPr>
        <w:pStyle w:val="5"/>
        <w:spacing w:before="156" w:beforeLines="50" w:after="156" w:afterLines="50"/>
        <w:rPr>
          <w:highlight w:val="none"/>
        </w:rPr>
      </w:pPr>
      <w:bookmarkStart w:id="106" w:name="_Toc29430"/>
      <w:r>
        <w:rPr>
          <w:rFonts w:hint="eastAsia"/>
          <w:highlight w:val="none"/>
        </w:rPr>
        <w:t>三条控制线落实与管控</w:t>
      </w:r>
      <w:bookmarkEnd w:id="106"/>
    </w:p>
    <w:p>
      <w:pPr>
        <w:pStyle w:val="6"/>
        <w:rPr>
          <w:b w:val="0"/>
          <w:bCs w:val="0"/>
          <w:highlight w:val="none"/>
        </w:rPr>
      </w:pPr>
      <w:bookmarkStart w:id="107" w:name="_Toc12762"/>
      <w:r>
        <w:rPr>
          <w:rFonts w:hint="eastAsia"/>
          <w:b w:val="0"/>
          <w:bCs w:val="0"/>
          <w:highlight w:val="none"/>
        </w:rPr>
        <w:t>落实耕地与永久基本农田保护红线</w:t>
      </w:r>
      <w:bookmarkEnd w:id="107"/>
    </w:p>
    <w:p>
      <w:pPr>
        <w:rPr>
          <w:highlight w:val="none"/>
        </w:rPr>
      </w:pPr>
      <w:r>
        <w:rPr>
          <w:rFonts w:hint="eastAsia"/>
          <w:highlight w:val="none"/>
        </w:rPr>
        <w:t>落实上级规划下达的耕地与永久基本农田保护任务，保障国家粮食安全。</w:t>
      </w:r>
      <w:r>
        <w:rPr>
          <w:rFonts w:hint="eastAsia"/>
          <w:highlight w:val="none"/>
          <w:u w:val="single"/>
        </w:rPr>
        <w:t>落实耕地保护目标20.65平方公里，</w:t>
      </w:r>
      <w:r>
        <w:rPr>
          <w:rFonts w:hint="eastAsia"/>
          <w:highlight w:val="none"/>
        </w:rPr>
        <w:t>严控优质耕地转为其他农用地，促进耕地集中连片规模化经营。</w:t>
      </w:r>
      <w:r>
        <w:rPr>
          <w:rFonts w:hint="eastAsia"/>
          <w:highlight w:val="none"/>
          <w:u w:val="single"/>
        </w:rPr>
        <w:t>落实永久基本农田20.00平方公里。</w:t>
      </w:r>
      <w:r>
        <w:rPr>
          <w:rFonts w:hint="eastAsia"/>
          <w:highlight w:val="none"/>
        </w:rPr>
        <w:t>主要分布在镇域中部国道G105和省道S259沿线地势较为平坦的地区。</w:t>
      </w:r>
    </w:p>
    <w:p>
      <w:pPr>
        <w:pStyle w:val="6"/>
        <w:rPr>
          <w:b w:val="0"/>
          <w:bCs w:val="0"/>
          <w:highlight w:val="none"/>
        </w:rPr>
      </w:pPr>
      <w:bookmarkStart w:id="108" w:name="_Toc21428"/>
      <w:r>
        <w:rPr>
          <w:rFonts w:hint="eastAsia"/>
          <w:b w:val="0"/>
          <w:bCs w:val="0"/>
          <w:highlight w:val="none"/>
        </w:rPr>
        <w:t>落实生态保护红线</w:t>
      </w:r>
      <w:bookmarkEnd w:id="108"/>
    </w:p>
    <w:p>
      <w:pPr>
        <w:rPr>
          <w:highlight w:val="none"/>
        </w:rPr>
      </w:pPr>
      <w:r>
        <w:rPr>
          <w:rFonts w:hint="eastAsia"/>
          <w:highlight w:val="none"/>
        </w:rPr>
        <w:t>落实上级规划下达的生态保护红线任务，</w:t>
      </w:r>
      <w:r>
        <w:rPr>
          <w:rFonts w:hint="eastAsia"/>
          <w:highlight w:val="none"/>
          <w:u w:val="single"/>
        </w:rPr>
        <w:t>生态保护红线227.25平方公里。</w:t>
      </w:r>
      <w:r>
        <w:rPr>
          <w:rFonts w:hint="eastAsia"/>
          <w:highlight w:val="none"/>
        </w:rPr>
        <w:t>主要分布在新丰江生态安全控制区、东江水源涵养区、鲁古河自然保护区等重要水源涵养。</w:t>
      </w:r>
    </w:p>
    <w:p>
      <w:pPr>
        <w:pStyle w:val="6"/>
        <w:rPr>
          <w:b w:val="0"/>
          <w:bCs w:val="0"/>
          <w:highlight w:val="none"/>
        </w:rPr>
      </w:pPr>
      <w:bookmarkStart w:id="109" w:name="_Toc21254"/>
      <w:r>
        <w:rPr>
          <w:rFonts w:hint="eastAsia"/>
          <w:b w:val="0"/>
          <w:bCs w:val="0"/>
          <w:highlight w:val="none"/>
        </w:rPr>
        <w:t>落实城镇开发边界</w:t>
      </w:r>
      <w:bookmarkEnd w:id="109"/>
    </w:p>
    <w:p>
      <w:pPr>
        <w:rPr>
          <w:highlight w:val="none"/>
        </w:rPr>
      </w:pPr>
      <w:r>
        <w:rPr>
          <w:rFonts w:hint="eastAsia"/>
          <w:highlight w:val="none"/>
        </w:rPr>
        <w:t>落实上级规划划定的城镇开发边界，</w:t>
      </w:r>
      <w:r>
        <w:rPr>
          <w:rFonts w:hint="eastAsia"/>
          <w:highlight w:val="none"/>
          <w:u w:val="single"/>
        </w:rPr>
        <w:t>划定城镇开发边界2.18平方公里。</w:t>
      </w:r>
      <w:r>
        <w:rPr>
          <w:rFonts w:hint="eastAsia"/>
          <w:highlight w:val="none"/>
        </w:rPr>
        <w:t>主要分布在马头镇区、乌石岗村。</w:t>
      </w:r>
    </w:p>
    <w:tbl>
      <w:tblPr>
        <w:tblStyle w:val="23"/>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85" w:type="dxa"/>
            <w:gridSpan w:val="2"/>
            <w:tcBorders>
              <w:top w:val="single" w:color="auto" w:sz="4" w:space="0"/>
              <w:left w:val="single" w:color="auto" w:sz="4" w:space="0"/>
              <w:bottom w:val="single" w:color="auto" w:sz="4" w:space="0"/>
              <w:right w:val="single" w:color="auto" w:sz="4" w:space="0"/>
            </w:tcBorders>
            <w:shd w:val="clear" w:color="auto" w:fill="D9D9D9"/>
          </w:tcPr>
          <w:p>
            <w:pPr>
              <w:spacing w:before="46" w:after="46"/>
              <w:ind w:firstLine="0" w:firstLineChars="0"/>
              <w:jc w:val="center"/>
              <w:rPr>
                <w:rFonts w:eastAsia="黑体"/>
                <w:highlight w:val="none"/>
                <w:u w:val="single"/>
              </w:rPr>
            </w:pPr>
            <w:r>
              <w:rPr>
                <w:rFonts w:eastAsia="黑体"/>
                <w:highlight w:val="none"/>
                <w:u w:val="single"/>
              </w:rPr>
              <w:t>专栏4-1：</w:t>
            </w:r>
            <w:r>
              <w:rPr>
                <w:rFonts w:hint="eastAsia" w:eastAsia="黑体"/>
                <w:highlight w:val="none"/>
                <w:u w:val="single"/>
              </w:rPr>
              <w:t>“三线”管控基本要求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46" w:beforeLines="15" w:after="46" w:afterLines="15" w:line="280" w:lineRule="exact"/>
              <w:ind w:firstLine="0" w:firstLineChars="0"/>
              <w:jc w:val="center"/>
              <w:rPr>
                <w:rFonts w:hAnsi="宋体"/>
                <w:sz w:val="24"/>
                <w:szCs w:val="24"/>
                <w:highlight w:val="none"/>
              </w:rPr>
            </w:pPr>
            <w:r>
              <w:rPr>
                <w:rFonts w:hint="eastAsia" w:hAnsi="宋体"/>
                <w:sz w:val="24"/>
                <w:szCs w:val="24"/>
                <w:highlight w:val="none"/>
              </w:rPr>
              <w:t>耕地与永久基本农田保护红线</w:t>
            </w:r>
          </w:p>
        </w:tc>
        <w:tc>
          <w:tcPr>
            <w:tcW w:w="7519"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pacing w:before="46" w:beforeLines="15" w:after="46" w:afterLines="15" w:line="280" w:lineRule="exact"/>
              <w:ind w:firstLine="480"/>
              <w:jc w:val="left"/>
              <w:rPr>
                <w:rFonts w:hAnsi="宋体"/>
                <w:sz w:val="24"/>
                <w:szCs w:val="24"/>
                <w:highlight w:val="none"/>
              </w:rPr>
            </w:pPr>
            <w:r>
              <w:rPr>
                <w:rFonts w:hint="eastAsia" w:hAnsi="宋体"/>
                <w:sz w:val="24"/>
                <w:szCs w:val="24"/>
                <w:highlight w:val="none"/>
              </w:rPr>
              <w:t>严守耕地保护红线，严格控制耕地转为非耕地。非农业建设必须节约使用土地，尽量不占或者少占耕地。非农业建设经批准占用耕地的，按照“占多少，垦多少”的原则，由占用耕地的单位负责补充与所占用耕地数量和质量相当的耕地。严格控制耕地转为林地、草地、园地、农业设施建设用地。因农业结构调整、农业设施建设等，确需将永久基本农田以外的耕地转为其他农用地的，应当按照“出多少，进多少”的原则，通过将其他农用地整治为耕地等方式，补充同等数量质量的耕地。</w:t>
            </w:r>
          </w:p>
          <w:p>
            <w:pPr>
              <w:widowControl/>
              <w:autoSpaceDE w:val="0"/>
              <w:autoSpaceDN w:val="0"/>
              <w:adjustRightInd w:val="0"/>
              <w:spacing w:before="46" w:beforeLines="15" w:after="46" w:afterLines="15" w:line="280" w:lineRule="exact"/>
              <w:ind w:firstLine="480"/>
              <w:jc w:val="left"/>
              <w:rPr>
                <w:rFonts w:hAnsi="宋体"/>
                <w:sz w:val="24"/>
                <w:szCs w:val="24"/>
                <w:highlight w:val="none"/>
              </w:rPr>
            </w:pPr>
            <w:r>
              <w:rPr>
                <w:rFonts w:hint="eastAsia" w:hAnsi="宋体"/>
                <w:sz w:val="24"/>
                <w:szCs w:val="24"/>
                <w:highlight w:val="none"/>
              </w:rPr>
              <w:t>永久基本农田一经划定，不得擅自占用或者改变用途。永久基本农田不得转为林地、草地、园地等其他农用地及农业设施建设用地。国家能源、交通、水利、军事设施等重点建设项目选址确实难以避让永久基本农田的，涉及农用地转用或者土地征收的，必须经国务院批准，并依法依规补划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46" w:beforeLines="15" w:after="46" w:afterLines="15" w:line="280" w:lineRule="exact"/>
              <w:ind w:firstLine="0" w:firstLineChars="0"/>
              <w:jc w:val="center"/>
              <w:rPr>
                <w:rFonts w:hAnsi="宋体"/>
                <w:sz w:val="24"/>
                <w:szCs w:val="24"/>
                <w:highlight w:val="none"/>
              </w:rPr>
            </w:pPr>
            <w:r>
              <w:rPr>
                <w:rFonts w:hint="eastAsia" w:hAnsi="宋体"/>
                <w:sz w:val="24"/>
                <w:szCs w:val="24"/>
                <w:highlight w:val="none"/>
              </w:rPr>
              <w:t>生态保护红线</w:t>
            </w:r>
          </w:p>
        </w:tc>
        <w:tc>
          <w:tcPr>
            <w:tcW w:w="7519"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pacing w:before="46" w:beforeLines="15" w:after="46" w:afterLines="15" w:line="280" w:lineRule="exact"/>
              <w:ind w:firstLine="480"/>
              <w:jc w:val="left"/>
              <w:rPr>
                <w:rFonts w:hAnsi="宋体"/>
                <w:sz w:val="24"/>
                <w:szCs w:val="24"/>
                <w:highlight w:val="none"/>
              </w:rPr>
            </w:pPr>
            <w:r>
              <w:rPr>
                <w:rFonts w:hint="eastAsia" w:hAnsi="宋体"/>
                <w:sz w:val="24"/>
                <w:szCs w:val="24"/>
                <w:highlight w:val="none"/>
              </w:rPr>
              <w:t>规范管控有限人为活动。生态保护红线内，自然保护地核心保护区原则上禁止人为活动。生态保护红线内自然保护地核心保护区外，禁止开发性、生产性建设活动，在符合法律法规的前提下，仅允许对生态功能不造成破坏的有限人为活动。符合规定的生态保护红线管控范围内有限人为活动，涉及新增建设用地审批的，在报批农用地转用、土地征收时，需附省级人民政府出具符合生态保护红线内允许有限人为活动的认定意见。</w:t>
            </w:r>
          </w:p>
          <w:p>
            <w:pPr>
              <w:widowControl/>
              <w:autoSpaceDE w:val="0"/>
              <w:autoSpaceDN w:val="0"/>
              <w:adjustRightInd w:val="0"/>
              <w:spacing w:before="46" w:beforeLines="15" w:after="46" w:afterLines="15" w:line="280" w:lineRule="exact"/>
              <w:ind w:firstLine="480"/>
              <w:jc w:val="left"/>
              <w:rPr>
                <w:rFonts w:hAnsi="宋体"/>
                <w:sz w:val="24"/>
                <w:szCs w:val="24"/>
                <w:highlight w:val="none"/>
              </w:rPr>
            </w:pPr>
            <w:r>
              <w:rPr>
                <w:rFonts w:hint="eastAsia" w:hAnsi="宋体"/>
                <w:sz w:val="24"/>
                <w:szCs w:val="24"/>
                <w:highlight w:val="none"/>
              </w:rPr>
              <w:t>规范国家重大项目占用审批。生态保护红线内，除有限人为活动之外，仅允许国家重大项目占用生态保护红线。涉及生态保护红线的国家重大项目须报国务院批准，且需附省级人民政府出具的不可避让论证意见。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pacing w:before="46" w:beforeLines="15" w:after="46" w:afterLines="15" w:line="280" w:lineRule="exact"/>
              <w:ind w:firstLine="0" w:firstLineChars="0"/>
              <w:jc w:val="center"/>
              <w:rPr>
                <w:rFonts w:hAnsi="宋体"/>
                <w:sz w:val="24"/>
                <w:szCs w:val="24"/>
                <w:highlight w:val="none"/>
              </w:rPr>
            </w:pPr>
          </w:p>
          <w:p>
            <w:pPr>
              <w:widowControl/>
              <w:autoSpaceDE w:val="0"/>
              <w:autoSpaceDN w:val="0"/>
              <w:adjustRightInd w:val="0"/>
              <w:spacing w:before="46" w:beforeLines="15" w:after="46" w:afterLines="15" w:line="280" w:lineRule="exact"/>
              <w:ind w:firstLine="0" w:firstLineChars="0"/>
              <w:jc w:val="center"/>
              <w:rPr>
                <w:rFonts w:hAnsi="宋体"/>
                <w:sz w:val="24"/>
                <w:szCs w:val="24"/>
                <w:highlight w:val="none"/>
              </w:rPr>
            </w:pPr>
            <w:r>
              <w:rPr>
                <w:rFonts w:hint="eastAsia" w:hAnsi="宋体"/>
                <w:sz w:val="24"/>
                <w:szCs w:val="24"/>
                <w:highlight w:val="none"/>
              </w:rPr>
              <w:t>城镇开发边界</w:t>
            </w:r>
          </w:p>
        </w:tc>
        <w:tc>
          <w:tcPr>
            <w:tcW w:w="7519"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pacing w:before="46" w:beforeLines="15" w:after="46" w:afterLines="15" w:line="280" w:lineRule="exact"/>
              <w:ind w:firstLine="480"/>
              <w:jc w:val="left"/>
              <w:rPr>
                <w:rFonts w:hAnsi="宋体"/>
                <w:sz w:val="24"/>
                <w:szCs w:val="24"/>
                <w:highlight w:val="none"/>
              </w:rPr>
            </w:pPr>
            <w:r>
              <w:rPr>
                <w:rFonts w:hint="eastAsia" w:hAnsi="宋体"/>
                <w:color w:val="252525"/>
                <w:sz w:val="24"/>
                <w:szCs w:val="24"/>
                <w:highlight w:val="none"/>
              </w:rPr>
              <w:t>城镇开发边界内，各类建设活动严格实行用途管制，按照规划用途依法办理有关手续，并加强与蓝线、绿线、黄线、紫线、、历史文化保护线等协同管控。城镇开发边界外，原则上不得进行城镇集中建设，不得设立各类开发区。。</w:t>
            </w:r>
          </w:p>
        </w:tc>
      </w:tr>
    </w:tbl>
    <w:p>
      <w:pPr>
        <w:pStyle w:val="5"/>
        <w:spacing w:before="156" w:beforeLines="50" w:after="156" w:afterLines="50"/>
        <w:rPr>
          <w:highlight w:val="none"/>
        </w:rPr>
      </w:pPr>
      <w:bookmarkStart w:id="110" w:name="_Toc25888"/>
      <w:r>
        <w:rPr>
          <w:rFonts w:hint="eastAsia"/>
          <w:highlight w:val="none"/>
        </w:rPr>
        <w:t>国土空间规划用途</w:t>
      </w:r>
      <w:bookmarkEnd w:id="110"/>
    </w:p>
    <w:p>
      <w:pPr>
        <w:pStyle w:val="6"/>
        <w:rPr>
          <w:b w:val="0"/>
          <w:bCs w:val="0"/>
          <w:highlight w:val="none"/>
        </w:rPr>
      </w:pPr>
      <w:bookmarkStart w:id="111" w:name="_Toc656"/>
      <w:r>
        <w:rPr>
          <w:rFonts w:hint="eastAsia"/>
          <w:b w:val="0"/>
          <w:bCs w:val="0"/>
          <w:highlight w:val="none"/>
        </w:rPr>
        <w:t>国土空间规划分区</w:t>
      </w:r>
      <w:bookmarkEnd w:id="111"/>
    </w:p>
    <w:p>
      <w:pPr>
        <w:rPr>
          <w:highlight w:val="none"/>
        </w:rPr>
      </w:pPr>
      <w:r>
        <w:rPr>
          <w:rFonts w:hint="eastAsia"/>
          <w:highlight w:val="none"/>
        </w:rPr>
        <w:t>落实《新丰县国土空间总体规划（2021—2035年）》规划分区：生态保护区、生态控制区、农田保护区、城镇发展区、乡村发展区和矿产能源发展区六类国土空间一级规划分区，加强全域全要素国土空间用途管制。</w:t>
      </w:r>
    </w:p>
    <w:p>
      <w:pPr>
        <w:rPr>
          <w:highlight w:val="none"/>
        </w:rPr>
      </w:pPr>
      <w:r>
        <w:rPr>
          <w:rFonts w:hint="eastAsia"/>
          <w:highlight w:val="none"/>
        </w:rPr>
        <w:t>生态保护区占镇域面积的44.61%，原则上按照生态保护红线要求进行严格管控，严禁任何不符合主体功能定位的开发活动，主要分布在新丰江生态安全控制区、鲁古河等重要水源涵养的生态极重要地区。</w:t>
      </w:r>
    </w:p>
    <w:p>
      <w:pPr>
        <w:rPr>
          <w:highlight w:val="none"/>
        </w:rPr>
      </w:pPr>
      <w:r>
        <w:rPr>
          <w:rFonts w:hint="eastAsia"/>
          <w:highlight w:val="none"/>
        </w:rPr>
        <w:t>生态控制区占镇域面积的10.72%，除生态保护修复等特定功能设施、必要的基础设施和乡村生活服务设施外，严格控制对生态功能产生影响的开发建设活动，主要分布在板岭下村、湾田村、文义村、路下村及坪山村等。</w:t>
      </w:r>
    </w:p>
    <w:p>
      <w:pPr>
        <w:rPr>
          <w:highlight w:val="none"/>
        </w:rPr>
      </w:pPr>
      <w:r>
        <w:rPr>
          <w:rFonts w:hint="eastAsia"/>
          <w:highlight w:val="none"/>
        </w:rPr>
        <w:t>农田保护区占镇域面积的4.07%，永久基本农田按照永久基本农田保护要求进行严格管控，从严管控非农建设占用，主要分布在镇域中部国道G105和省道S259沿线地势较为平坦的地区。</w:t>
      </w:r>
    </w:p>
    <w:p>
      <w:pPr>
        <w:rPr>
          <w:highlight w:val="none"/>
        </w:rPr>
      </w:pPr>
      <w:r>
        <w:rPr>
          <w:rFonts w:hint="eastAsia"/>
          <w:highlight w:val="none"/>
        </w:rPr>
        <w:t>城镇发展区占镇域面积的0.66%，根据主导功能，结合主次干路、行政区划、河流山体等边界，主要分布在镇区、乌石岗村+。将城镇发展区细分为居住生活区、综合服务区、商业商务区、工业发展区、交通枢纽区等五类二级规划分区，城镇开发边界内实行“详细规划+规划许可”的管制方式。二级规划分区内可布局符合功能要求的配套用地与兼容用地。</w:t>
      </w:r>
    </w:p>
    <w:p>
      <w:pPr>
        <w:rPr>
          <w:highlight w:val="none"/>
        </w:rPr>
      </w:pPr>
      <w:r>
        <w:rPr>
          <w:rFonts w:hint="eastAsia"/>
          <w:highlight w:val="none"/>
        </w:rPr>
        <w:t>乡村发展区占镇域面积的39.80%，细分为村庄建设区、林业发展区、一般农业区三类二级规划分区，广泛分布于马头镇全域，重点开展农村居民点、新产业新业态项目、农村生产生活配套及必要的民生保障设施建设，严禁集中连片城镇开发建设。</w:t>
      </w:r>
    </w:p>
    <w:p>
      <w:pPr>
        <w:rPr>
          <w:highlight w:val="none"/>
        </w:rPr>
      </w:pPr>
      <w:r>
        <w:rPr>
          <w:rFonts w:hint="eastAsia"/>
          <w:highlight w:val="none"/>
        </w:rPr>
        <w:t>矿产能源发展区占镇域面积的0.14%，按照国家相关政策要求实施空间管控与开采利用，主要分布在桐木山村、寨下村。</w:t>
      </w:r>
      <w:bookmarkEnd w:id="98"/>
      <w:bookmarkEnd w:id="99"/>
      <w:bookmarkEnd w:id="100"/>
      <w:bookmarkEnd w:id="101"/>
    </w:p>
    <w:p>
      <w:pPr>
        <w:pStyle w:val="6"/>
        <w:rPr>
          <w:b w:val="0"/>
          <w:bCs w:val="0"/>
          <w:highlight w:val="none"/>
        </w:rPr>
      </w:pPr>
      <w:bookmarkStart w:id="112" w:name="_Toc25394"/>
      <w:r>
        <w:rPr>
          <w:rFonts w:hint="eastAsia"/>
          <w:b w:val="0"/>
          <w:bCs w:val="0"/>
          <w:highlight w:val="none"/>
        </w:rPr>
        <w:t>国土空间用途结构优化</w:t>
      </w:r>
      <w:bookmarkEnd w:id="112"/>
    </w:p>
    <w:p>
      <w:pPr>
        <w:rPr>
          <w:highlight w:val="none"/>
        </w:rPr>
      </w:pPr>
      <w:r>
        <w:rPr>
          <w:rFonts w:hint="eastAsia"/>
          <w:highlight w:val="none"/>
        </w:rPr>
        <w:t>严格落实上级规划确定的国土空间规划约束性指标，加强全域用途管制。保障生态安全和蔬菜、粮食等基本生产。严格控制建设用地总量，精准配置新增建设用地，加大存量盘活，激活建设用地流量，提升土地使用质量。</w:t>
      </w:r>
    </w:p>
    <w:p>
      <w:pPr>
        <w:rPr>
          <w:highlight w:val="none"/>
        </w:rPr>
      </w:pPr>
      <w:r>
        <w:rPr>
          <w:rFonts w:hint="eastAsia"/>
          <w:highlight w:val="none"/>
        </w:rPr>
        <w:t>农业空间优化。贯彻落实党中央、国务院关于加强和改进耕地保护的决策部署，坚持最严格的耕地保护制度和最严格的节约用地制度，开展补充耕地项目，实现耕地数量有增加、质量有提升、生态有改善、布局更加集中连片、优化耕地空间分布，保障粮食安全，传承传统农耕文化，改善农田生态。优化耕地布局，有效解决农田破碎化，促进耕地的集中连片。确保项目实施期间耕地数量不减少、质量有提高、生态有改善。</w:t>
      </w:r>
    </w:p>
    <w:p>
      <w:pPr>
        <w:rPr>
          <w:highlight w:val="none"/>
        </w:rPr>
      </w:pPr>
      <w:r>
        <w:rPr>
          <w:rFonts w:hint="eastAsia"/>
          <w:highlight w:val="none"/>
        </w:rPr>
        <w:t>生态空间优化。结合全域土地综合整治，布局羌坑河雅盖村至湖塘桥河段清淤项目、G</w:t>
      </w:r>
      <w:r>
        <w:rPr>
          <w:highlight w:val="none"/>
        </w:rPr>
        <w:t>105</w:t>
      </w:r>
      <w:r>
        <w:rPr>
          <w:rFonts w:hint="eastAsia"/>
          <w:highlight w:val="none"/>
        </w:rPr>
        <w:t>潭石村至镇标路段整治提升项目、G</w:t>
      </w:r>
      <w:r>
        <w:rPr>
          <w:highlight w:val="none"/>
        </w:rPr>
        <w:t>105</w:t>
      </w:r>
      <w:r>
        <w:rPr>
          <w:rFonts w:hint="eastAsia"/>
          <w:highlight w:val="none"/>
        </w:rPr>
        <w:t>圩镇段人居环境整治提升等项目，秉持山水林田湖草生命共同体生态文明理念，因地制宜，因势利导，优化调整用地布局，保护和恢复乡村自然灾害能力，加强沿河流域生态保护修复，推进美丽乡村建设。</w:t>
      </w:r>
    </w:p>
    <w:p>
      <w:pPr>
        <w:rPr>
          <w:highlight w:val="none"/>
        </w:rPr>
      </w:pPr>
      <w:r>
        <w:rPr>
          <w:rFonts w:hint="eastAsia"/>
          <w:highlight w:val="none"/>
        </w:rPr>
        <w:t>建设空间优化，推动城镇空间从外延扩张转向优化结构。积极盘活203存量未使用地，增加优质空间供给，保障“百千万工程”项目用地的需求，将适度增量定向用于基础设施、重大项目平台和民生发展，促进土地利用方式向存量发展转变。</w:t>
      </w:r>
    </w:p>
    <w:p>
      <w:pPr>
        <w:rPr>
          <w:highlight w:val="none"/>
        </w:rPr>
      </w:pPr>
      <w:r>
        <w:rPr>
          <w:rFonts w:hint="eastAsia"/>
          <w:highlight w:val="none"/>
        </w:rPr>
        <w:br w:type="page"/>
      </w:r>
    </w:p>
    <w:p>
      <w:pPr>
        <w:pStyle w:val="4"/>
        <w:numPr>
          <w:ilvl w:val="0"/>
          <w:numId w:val="5"/>
        </w:numPr>
        <w:spacing w:before="312" w:after="312"/>
        <w:ind w:left="0" w:firstLine="0"/>
        <w:rPr>
          <w:b w:val="0"/>
          <w:bCs w:val="0"/>
          <w:highlight w:val="none"/>
        </w:rPr>
      </w:pPr>
      <w:bookmarkStart w:id="113" w:name="_Toc31862"/>
      <w:bookmarkStart w:id="114" w:name="_Toc24666"/>
      <w:bookmarkStart w:id="115" w:name="_Toc10754"/>
      <w:bookmarkStart w:id="116" w:name="_Toc14822"/>
      <w:bookmarkStart w:id="117" w:name="_Toc6193"/>
      <w:r>
        <w:rPr>
          <w:rFonts w:hint="eastAsia"/>
          <w:b w:val="0"/>
          <w:bCs w:val="0"/>
          <w:highlight w:val="none"/>
        </w:rPr>
        <w:t>自然资源保护与利用</w:t>
      </w:r>
      <w:bookmarkEnd w:id="113"/>
      <w:bookmarkEnd w:id="114"/>
      <w:bookmarkEnd w:id="115"/>
      <w:bookmarkEnd w:id="116"/>
      <w:bookmarkEnd w:id="117"/>
    </w:p>
    <w:p>
      <w:pPr>
        <w:pStyle w:val="6"/>
        <w:rPr>
          <w:b w:val="0"/>
          <w:bCs w:val="0"/>
          <w:highlight w:val="none"/>
        </w:rPr>
      </w:pPr>
      <w:bookmarkStart w:id="118" w:name="_Toc4877"/>
      <w:bookmarkStart w:id="119" w:name="_Toc22055"/>
      <w:bookmarkStart w:id="120" w:name="_Toc14743"/>
      <w:bookmarkStart w:id="121" w:name="_Toc2436"/>
      <w:bookmarkStart w:id="122" w:name="_Toc8623"/>
      <w:r>
        <w:rPr>
          <w:rFonts w:hint="eastAsia"/>
          <w:b w:val="0"/>
          <w:bCs w:val="0"/>
          <w:highlight w:val="none"/>
        </w:rPr>
        <w:t>水资源与湿地</w:t>
      </w:r>
      <w:bookmarkEnd w:id="118"/>
      <w:bookmarkEnd w:id="119"/>
      <w:bookmarkEnd w:id="120"/>
      <w:bookmarkEnd w:id="121"/>
      <w:r>
        <w:rPr>
          <w:rFonts w:hint="eastAsia"/>
          <w:b w:val="0"/>
          <w:bCs w:val="0"/>
          <w:highlight w:val="none"/>
        </w:rPr>
        <w:t>保护与利用</w:t>
      </w:r>
      <w:bookmarkEnd w:id="122"/>
    </w:p>
    <w:p>
      <w:pPr>
        <w:rPr>
          <w:rFonts w:cs="Times New Roman"/>
          <w:color w:val="000000"/>
          <w:highlight w:val="none"/>
          <w:u w:val="single"/>
        </w:rPr>
      </w:pPr>
      <w:r>
        <w:rPr>
          <w:rFonts w:hint="eastAsia"/>
          <w:highlight w:val="none"/>
        </w:rPr>
        <w:t>按照“生态优先、绿色发展”的原则，建立健全水资源和湿地保护制度，保障资源永续利用。</w:t>
      </w:r>
      <w:r>
        <w:rPr>
          <w:rFonts w:hint="eastAsia" w:ascii="仿宋_GB2312"/>
          <w:color w:val="000000"/>
          <w:highlight w:val="none"/>
        </w:rPr>
        <w:t>强化水资源约束。严守用水总量控制、用水效率控制、水功能区限制纳污“三条红线”，落实水资源消耗总量与强度双控。建立地下水有效保护与节约集约利用体系，优化调整地下水保护与利用布局，全面落实地下水取水总量、水位控制指标，</w:t>
      </w:r>
      <w:r>
        <w:rPr>
          <w:rFonts w:hint="eastAsia" w:ascii="仿宋_GB2312"/>
          <w:color w:val="000000"/>
          <w:highlight w:val="none"/>
          <w:u w:val="single"/>
        </w:rPr>
        <w:t>到</w:t>
      </w:r>
      <w:r>
        <w:rPr>
          <w:color w:val="000000"/>
          <w:highlight w:val="none"/>
          <w:u w:val="single"/>
        </w:rPr>
        <w:t>2035</w:t>
      </w:r>
      <w:r>
        <w:rPr>
          <w:rFonts w:hint="eastAsia" w:ascii="仿宋_GB2312"/>
          <w:color w:val="000000"/>
          <w:highlight w:val="none"/>
          <w:u w:val="single"/>
        </w:rPr>
        <w:t>年，马头镇用水总量不超过上级下达指标。</w:t>
      </w:r>
    </w:p>
    <w:p>
      <w:pPr>
        <w:rPr>
          <w:highlight w:val="none"/>
        </w:rPr>
      </w:pPr>
      <w:r>
        <w:rPr>
          <w:rFonts w:hint="eastAsia"/>
          <w:highlight w:val="none"/>
        </w:rPr>
        <w:t>统筹考虑地表水和地下水的综合利用，规划在重要河湖水系岸线周边设置保护区和控制区，落实“河湖长制”加强水资源和湿地管理，强化监管力度，倡导工业和生活用水水资源循环利用、节约利用，减少污水产生，强化水资源保护与污染治理。</w:t>
      </w:r>
    </w:p>
    <w:p>
      <w:pPr>
        <w:rPr>
          <w:highlight w:val="none"/>
        </w:rPr>
      </w:pPr>
      <w:r>
        <w:rPr>
          <w:rFonts w:hint="eastAsia"/>
          <w:highlight w:val="none"/>
        </w:rPr>
        <w:t>提高水资源利用效率，加强</w:t>
      </w:r>
      <w:r>
        <w:rPr>
          <w:highlight w:val="none"/>
        </w:rPr>
        <w:t>水资源循环利用</w:t>
      </w:r>
      <w:r>
        <w:rPr>
          <w:rFonts w:hint="eastAsia"/>
          <w:highlight w:val="none"/>
        </w:rPr>
        <w:t>，结合马头镇发展实际，开展节水技术的推广、建立</w:t>
      </w:r>
      <w:r>
        <w:rPr>
          <w:highlight w:val="none"/>
        </w:rPr>
        <w:t>雨水收集系统</w:t>
      </w:r>
      <w:r>
        <w:rPr>
          <w:rFonts w:hint="eastAsia"/>
          <w:highlight w:val="none"/>
        </w:rPr>
        <w:t>等，并</w:t>
      </w:r>
      <w:r>
        <w:rPr>
          <w:highlight w:val="none"/>
        </w:rPr>
        <w:t>提升公众教育与意识</w:t>
      </w:r>
      <w:r>
        <w:rPr>
          <w:rFonts w:hint="eastAsia"/>
          <w:highlight w:val="none"/>
        </w:rPr>
        <w:t>，提高</w:t>
      </w:r>
      <w:r>
        <w:rPr>
          <w:highlight w:val="none"/>
        </w:rPr>
        <w:t>马头镇水资源的高效利用，促进经济与环境的和谐发展。</w:t>
      </w:r>
    </w:p>
    <w:p>
      <w:pPr>
        <w:rPr>
          <w:highlight w:val="none"/>
        </w:rPr>
      </w:pPr>
      <w:r>
        <w:rPr>
          <w:rFonts w:hint="eastAsia"/>
          <w:highlight w:val="none"/>
        </w:rPr>
        <w:t xml:space="preserve">保护马头镇新丰江段、鲁古河国家级湿地自然公园等河流湖泊、天然湿地及周边生态环境。河道管理范围内不得新建、改建、扩建生产围堤，不得种植妨碍行洪的高秆作物，禁止建设妨碍行洪的建筑物、构筑物，严禁以各种名义围湖造地、非法围垦河道，逐步提高新丰县境内河道的防洪能力。落实空间管制，确保羌坑河、新丰江及其支流水质保持Ⅱ类及以上。 </w:t>
      </w:r>
    </w:p>
    <w:p>
      <w:pPr>
        <w:rPr>
          <w:highlight w:val="none"/>
        </w:rPr>
      </w:pPr>
      <w:r>
        <w:rPr>
          <w:rFonts w:hint="eastAsia"/>
          <w:highlight w:val="none"/>
        </w:rPr>
        <w:t>推进新丰江、羌坑河、大席河等水系连通、清淤疏浚、水源涵养与水土保持等河湖水系治理和生态修复工程，严格控制河流源头和蓄滞洪区、水土流失严重区的开发建设活动。鼓励适度开发，按照重要性程度分级指导开展符合水资源和湿地保护要求的景观浏览、生态旅游、生态农业、生态教育和自然体验等活动，优化利用方式，发挥雨洪调蓄、净化水质、休闲游憩和科普教育等功能，维护水资源和湿地生态系统功能稳定。</w:t>
      </w:r>
    </w:p>
    <w:p>
      <w:pPr>
        <w:rPr>
          <w:highlight w:val="none"/>
        </w:rPr>
      </w:pPr>
      <w:r>
        <w:rPr>
          <w:rFonts w:hint="eastAsia"/>
          <w:highlight w:val="none"/>
        </w:rPr>
        <w:t>加强用水的执法监测，</w:t>
      </w:r>
      <w:r>
        <w:rPr>
          <w:highlight w:val="none"/>
        </w:rPr>
        <w:t>依据国家水资源保护法、水污染防治法、取水许可制度等法律法规，对水资源的开发、利用、保护、污染防治等行为进行监督检查，确保法规得到执行。</w:t>
      </w:r>
      <w:r>
        <w:rPr>
          <w:rFonts w:hint="eastAsia"/>
          <w:highlight w:val="none"/>
        </w:rPr>
        <w:t xml:space="preserve"> </w:t>
      </w:r>
    </w:p>
    <w:p>
      <w:pPr>
        <w:pStyle w:val="6"/>
        <w:rPr>
          <w:b w:val="0"/>
          <w:bCs w:val="0"/>
          <w:highlight w:val="none"/>
        </w:rPr>
      </w:pPr>
      <w:bookmarkStart w:id="123" w:name="_Toc19168"/>
      <w:bookmarkStart w:id="124" w:name="_Toc16984"/>
      <w:bookmarkStart w:id="125" w:name="_Toc1021"/>
      <w:bookmarkStart w:id="126" w:name="_Toc3641"/>
      <w:bookmarkStart w:id="127" w:name="_Toc26010"/>
      <w:r>
        <w:rPr>
          <w:rFonts w:hint="eastAsia"/>
          <w:b w:val="0"/>
          <w:bCs w:val="0"/>
          <w:highlight w:val="none"/>
        </w:rPr>
        <w:t>森林资源</w:t>
      </w:r>
      <w:bookmarkEnd w:id="123"/>
      <w:bookmarkEnd w:id="124"/>
      <w:bookmarkEnd w:id="125"/>
      <w:bookmarkEnd w:id="126"/>
      <w:r>
        <w:rPr>
          <w:rFonts w:hint="eastAsia"/>
          <w:b w:val="0"/>
          <w:bCs w:val="0"/>
          <w:highlight w:val="none"/>
        </w:rPr>
        <w:t>保护与利用</w:t>
      </w:r>
      <w:bookmarkEnd w:id="127"/>
    </w:p>
    <w:p>
      <w:pPr>
        <w:rPr>
          <w:highlight w:val="none"/>
        </w:rPr>
      </w:pPr>
      <w:r>
        <w:rPr>
          <w:rFonts w:hint="eastAsia"/>
          <w:highlight w:val="none"/>
        </w:rPr>
        <w:t>以“绿美新丰”建设助力构建绿美韶关生态建设新格局为目标，马头镇按照“因地制宜、分类施策、造管并举、量质并重”的营林思路，强化森林科学经营，提升森林质量；加快培育多目标多功能森林，加大森林抚育力度，优化森林资源结构，增强森林生态功能，提高森林质量，增加生态产品供给，丰富生态公共服务产品，加快发展城乡生态公共服务设施。</w:t>
      </w:r>
    </w:p>
    <w:p>
      <w:pPr>
        <w:rPr>
          <w:highlight w:val="none"/>
        </w:rPr>
      </w:pPr>
      <w:r>
        <w:rPr>
          <w:rFonts w:hint="eastAsia"/>
          <w:highlight w:val="none"/>
        </w:rPr>
        <w:t>落实最严格的森林资源保护管理制度，全面保护天然林、公益林、生物物种和生物多样性，严禁不符合主体功能定位的各类开发活动，严禁任意改变用途；构建集中保护区、维护修复区、优化利用区等林地资源保护分区，分别进行控制保护、生态修复以及生产经营等活动，按照公益林和商品林属性，实行森林分类经营管理，加强森林资源严格保护及有效利用；</w:t>
      </w:r>
    </w:p>
    <w:p>
      <w:pPr>
        <w:rPr>
          <w:highlight w:val="none"/>
        </w:rPr>
      </w:pPr>
      <w:r>
        <w:rPr>
          <w:rFonts w:hint="eastAsia"/>
          <w:highlight w:val="none"/>
        </w:rPr>
        <w:t>落实上位规划划示的生态公益林等集中保护区，明确保护措施，造林绿化空间按照</w:t>
      </w:r>
      <w:r>
        <w:rPr>
          <w:rFonts w:hint="eastAsia" w:ascii="仿宋_GB2312"/>
          <w:color w:val="000000"/>
          <w:highlight w:val="none"/>
        </w:rPr>
        <w:t>上级下达指标落实。</w:t>
      </w:r>
      <w:r>
        <w:rPr>
          <w:rFonts w:hint="eastAsia"/>
          <w:highlight w:val="none"/>
        </w:rPr>
        <w:t>积极推动森林公园、湿地公园等生态体验区域的建设，鼓励提供优质的生态教育、游览游憩、康体健身等生态服务产品。完善提升鲁古河国家湿地自然公园、新丰江源地方级森林自然公园等森林公园，推进森林公园林相改造，构建森林慢行系统，提高森林公园的可达性与可进入性。</w:t>
      </w:r>
    </w:p>
    <w:p>
      <w:pPr>
        <w:rPr>
          <w:highlight w:val="none"/>
        </w:rPr>
      </w:pPr>
      <w:r>
        <w:rPr>
          <w:rFonts w:hint="eastAsia"/>
          <w:highlight w:val="none"/>
        </w:rPr>
        <w:t>加强林下经济发展，</w:t>
      </w:r>
      <w:r>
        <w:rPr>
          <w:highlight w:val="none"/>
        </w:rPr>
        <w:t>高效利用林地资源，促进生态与经济的和谐共生，提升林区居民收入</w:t>
      </w:r>
      <w:r>
        <w:rPr>
          <w:rFonts w:hint="eastAsia"/>
          <w:highlight w:val="none"/>
        </w:rPr>
        <w:t>，</w:t>
      </w:r>
      <w:r>
        <w:rPr>
          <w:highlight w:val="none"/>
        </w:rPr>
        <w:t>根据林区特色，发展多元产业，如林菌类、林药、林禽、林下蔬菜、油料植物等，形成产业矩阵。发展林间步道、民宿、生态体验、教育基地，丰富收入源，传播生态文化。</w:t>
      </w:r>
    </w:p>
    <w:p>
      <w:pPr>
        <w:rPr>
          <w:highlight w:val="none"/>
        </w:rPr>
      </w:pPr>
      <w:r>
        <w:rPr>
          <w:rFonts w:hint="eastAsia"/>
          <w:highlight w:val="none"/>
        </w:rPr>
        <w:t>加强森林资源的管控，执法监管，探索地方政府天然林保护负责制和目标责任考核制，将天然林保护与修复目标任务纳入经济社会发展规划，逐级分解落实天然林保护责任和修复任务。引入无人机、卫星遥感等新技术，引入有经验的第三方专业组织实施普查和监测，提高防治森林病虫害工作质量和精度。制定以松材线虫病、马尾松毛虫等重点有害生物防治方案，加大苗木检疫力度，监督林木种苗生产和经营，合理划定防控治理区和预防区。</w:t>
      </w:r>
    </w:p>
    <w:p>
      <w:pPr>
        <w:pStyle w:val="6"/>
        <w:rPr>
          <w:b w:val="0"/>
          <w:bCs w:val="0"/>
          <w:highlight w:val="none"/>
        </w:rPr>
      </w:pPr>
      <w:bookmarkStart w:id="128" w:name="_Toc31725"/>
      <w:bookmarkStart w:id="129" w:name="_Toc24975"/>
      <w:bookmarkStart w:id="130" w:name="_Toc32287"/>
      <w:bookmarkStart w:id="131" w:name="_Toc12585"/>
      <w:bookmarkStart w:id="132" w:name="_Toc11059"/>
      <w:r>
        <w:rPr>
          <w:rFonts w:hint="eastAsia"/>
          <w:b w:val="0"/>
          <w:bCs w:val="0"/>
          <w:highlight w:val="none"/>
        </w:rPr>
        <w:t>耕地资源</w:t>
      </w:r>
      <w:bookmarkEnd w:id="128"/>
      <w:bookmarkEnd w:id="129"/>
      <w:bookmarkEnd w:id="130"/>
      <w:bookmarkEnd w:id="131"/>
      <w:r>
        <w:rPr>
          <w:rFonts w:hint="eastAsia"/>
          <w:b w:val="0"/>
          <w:bCs w:val="0"/>
          <w:highlight w:val="none"/>
        </w:rPr>
        <w:t>保护与利用</w:t>
      </w:r>
      <w:bookmarkEnd w:id="132"/>
    </w:p>
    <w:p>
      <w:pPr>
        <w:rPr>
          <w:highlight w:val="none"/>
        </w:rPr>
      </w:pPr>
      <w:r>
        <w:rPr>
          <w:rFonts w:hint="eastAsia"/>
          <w:highlight w:val="none"/>
        </w:rPr>
        <w:t>坚持最严格的耕地保护制度，严守永久基本农田保护红线。</w:t>
      </w:r>
    </w:p>
    <w:p>
      <w:pPr>
        <w:ind w:firstLine="0" w:firstLineChars="0"/>
        <w:rPr>
          <w:highlight w:val="none"/>
        </w:rPr>
      </w:pPr>
      <w:r>
        <w:rPr>
          <w:rFonts w:hint="eastAsia"/>
          <w:highlight w:val="none"/>
        </w:rPr>
        <w:t>非农建设占用耕地必须全面落实“占一补一、占优补优、占水田补水田”的占补平衡要求。落实上位规划的永农基本农田储备区</w:t>
      </w:r>
      <w:r>
        <w:rPr>
          <w:rFonts w:hint="eastAsia"/>
          <w:highlight w:val="none"/>
          <w:lang w:eastAsia="zh-CN"/>
        </w:rPr>
        <w:t>和</w:t>
      </w:r>
      <w:r>
        <w:rPr>
          <w:rFonts w:hint="eastAsia"/>
          <w:highlight w:val="none"/>
        </w:rPr>
        <w:t>耕地整备区。</w:t>
      </w:r>
    </w:p>
    <w:p>
      <w:pPr>
        <w:rPr>
          <w:highlight w:val="none"/>
        </w:rPr>
      </w:pPr>
      <w:r>
        <w:rPr>
          <w:rFonts w:hint="eastAsia"/>
          <w:highlight w:val="none"/>
        </w:rPr>
        <w:t>严守耕地安全红线。全面推进耕地数量—质量—生态“三位一体”保护，强化耕地用途管制，坚决遏制耕地“非农化”，防止耕地“非粮化”，严格管控耕地转为其他用地，落实耕地占补平衡和进出平衡。推进非农建设占用耕地耕作层剥离利用工作，按照“应剥尽剥，谁占用，谁剥离”的原则，将剥离的耕作层土壤用于新开垦耕地、劣质地或者其他耕地的土壤改良等。</w:t>
      </w:r>
    </w:p>
    <w:p>
      <w:pPr>
        <w:pStyle w:val="30"/>
        <w:spacing w:line="240" w:lineRule="auto"/>
        <w:ind w:right="0" w:rightChars="0"/>
        <w:rPr>
          <w:rFonts w:ascii="Times New Roman" w:eastAsia="仿宋_GB2312"/>
          <w:szCs w:val="30"/>
          <w:highlight w:val="none"/>
        </w:rPr>
      </w:pPr>
      <w:r>
        <w:rPr>
          <w:rFonts w:hint="eastAsia" w:ascii="Times New Roman" w:eastAsia="仿宋_GB2312"/>
          <w:szCs w:val="30"/>
          <w:highlight w:val="none"/>
        </w:rPr>
        <w:t>严格管控一般耕地转为其他农用地以及农业设施建设用地，确需转变用途的，必须严格落实年度耕地“进出平衡”方案，并组织实施。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新增设施农业用地严禁占用永久基本农田，确需使用一般耕地的新增设施农业用地，纳入年度耕地“进出平衡”总体方案。</w:t>
      </w:r>
    </w:p>
    <w:p>
      <w:pPr>
        <w:rPr>
          <w:highlight w:val="none"/>
        </w:rPr>
      </w:pPr>
      <w:r>
        <w:rPr>
          <w:rFonts w:hint="eastAsia"/>
          <w:highlight w:val="none"/>
        </w:rPr>
        <w:t>强化耕地后备资源。积极推进补充耕地、基塘整治及高标准农田建设，不断提高耕地和永久基本农田质量，提前谋划耕地储备资源开发利用，促进耕地集中连片保护。</w:t>
      </w:r>
    </w:p>
    <w:p>
      <w:pPr>
        <w:rPr>
          <w:rFonts w:eastAsia="仿宋"/>
          <w:sz w:val="28"/>
          <w:szCs w:val="32"/>
          <w:highlight w:val="none"/>
        </w:rPr>
      </w:pPr>
      <w:r>
        <w:rPr>
          <w:rFonts w:hint="eastAsia"/>
          <w:highlight w:val="none"/>
        </w:rPr>
        <w:t>落实韶关市新丰县耕地和永久基本农田划定成果核实处置方案，</w:t>
      </w:r>
      <w:r>
        <w:rPr>
          <w:color w:val="000000" w:themeColor="text1"/>
          <w:highlight w:val="none"/>
          <w14:textFill>
            <w14:solidFill>
              <w14:schemeClr w14:val="tx1"/>
            </w14:solidFill>
          </w14:textFill>
        </w:rPr>
        <w:t>落实永久基本农田核实处置任务。</w:t>
      </w:r>
      <w:r>
        <w:rPr>
          <w:rFonts w:hint="eastAsia"/>
          <w:highlight w:val="none"/>
        </w:rPr>
        <w:t>由马头镇作为实施主体实施恢复整改，计划根据省、市工作安排，抓紧推进整改落实，并完成日常变更。</w:t>
      </w:r>
    </w:p>
    <w:p>
      <w:pPr>
        <w:rPr>
          <w:highlight w:val="none"/>
        </w:rPr>
      </w:pPr>
      <w:r>
        <w:rPr>
          <w:rFonts w:hint="eastAsia"/>
          <w:highlight w:val="none"/>
        </w:rPr>
        <w:t>加强耕地保护监督。加强耕地保护的监测、检查和日常巡查，持续开展违法违规占用耕地的整治，稳妥有序开展农村乱占耕地建房整治。对于违法违规占用耕地行为，要依法依规严肃查处，涉嫌犯罪的，及时移送司法机关追究刑事责任。未经耕地管理部门允许将耕地转为林地、草地、园地等其他农用地的，稳慎、有序推进恢复耕地。</w:t>
      </w:r>
    </w:p>
    <w:p>
      <w:pPr>
        <w:pStyle w:val="6"/>
        <w:rPr>
          <w:b w:val="0"/>
          <w:bCs w:val="0"/>
          <w:highlight w:val="none"/>
        </w:rPr>
      </w:pPr>
      <w:bookmarkStart w:id="133" w:name="_Toc4150"/>
      <w:bookmarkStart w:id="134" w:name="_Toc2569"/>
      <w:bookmarkStart w:id="135" w:name="_Toc30074"/>
      <w:bookmarkStart w:id="136" w:name="_Toc6564"/>
      <w:bookmarkStart w:id="137" w:name="_Toc23753"/>
      <w:r>
        <w:rPr>
          <w:rFonts w:hint="eastAsia"/>
          <w:b w:val="0"/>
          <w:bCs w:val="0"/>
          <w:highlight w:val="none"/>
        </w:rPr>
        <w:t>矿产资源</w:t>
      </w:r>
      <w:bookmarkEnd w:id="133"/>
      <w:bookmarkEnd w:id="134"/>
      <w:bookmarkEnd w:id="135"/>
      <w:bookmarkEnd w:id="136"/>
      <w:r>
        <w:rPr>
          <w:rFonts w:hint="eastAsia"/>
          <w:b w:val="0"/>
          <w:bCs w:val="0"/>
          <w:highlight w:val="none"/>
        </w:rPr>
        <w:t>保护与利用</w:t>
      </w:r>
      <w:bookmarkEnd w:id="137"/>
    </w:p>
    <w:p>
      <w:pPr>
        <w:rPr>
          <w:highlight w:val="none"/>
        </w:rPr>
      </w:pPr>
      <w:r>
        <w:rPr>
          <w:rFonts w:hint="eastAsia"/>
          <w:highlight w:val="none"/>
        </w:rPr>
        <w:t>在矿产资源利用层面，严格落实上层规划要求，协调资源环境保护，加强资源节约，开展环境影响评价，积极使用充填开采、保水开采合理控制地面塌陷，避免造成破坏和浪费其他资源。严格监督管理，严格执行新建和已建矿山最低开采规模等有关规定，开展矿产资源储量动态遥感监测，打击各类违法开采矿产行为。</w:t>
      </w:r>
    </w:p>
    <w:p>
      <w:pPr>
        <w:rPr>
          <w:highlight w:val="none"/>
        </w:rPr>
      </w:pPr>
      <w:r>
        <w:rPr>
          <w:rFonts w:hint="eastAsia"/>
          <w:highlight w:val="none"/>
        </w:rPr>
        <w:t>马头镇域范围内有4处矿产资源点，其中一处已设采矿权，2处已设探矿权范围，落实上位规划资源控制线的相关要求。根据马头镇的矿产资源分布格局，推进矿产资源开发利用与保护，矿山需达到绿色矿山建设标准，提高矿产资源节约利用水平，塑造绿色矿业发展新格局。</w:t>
      </w:r>
    </w:p>
    <w:p>
      <w:pPr>
        <w:rPr>
          <w:highlight w:val="none"/>
        </w:rPr>
      </w:pPr>
      <w:r>
        <w:rPr>
          <w:rFonts w:hint="eastAsia"/>
          <w:highlight w:val="none"/>
        </w:rPr>
        <w:t>鼓励开发利用矿泉水、地热等对环境影响小的矿产资源，促进区域经济与生态旅游业发展，矿泉水、地热开采等严格执行建设项目水资源论证制度和取水许可制度；按照“统筹规划、合理布局、因地制宜、产业聚集”的思路，综合考虑资源禀赋、市场需求、交通运输、环境承载、土地开发、生态修复、工程项目建设等因素，科学合理布局镇域域内的矿产资源开采区。</w:t>
      </w:r>
    </w:p>
    <w:p>
      <w:pPr>
        <w:pStyle w:val="6"/>
        <w:rPr>
          <w:b w:val="0"/>
          <w:bCs w:val="0"/>
          <w:highlight w:val="none"/>
        </w:rPr>
      </w:pPr>
      <w:bookmarkStart w:id="138" w:name="_Toc23960"/>
      <w:bookmarkStart w:id="139" w:name="_Toc14846"/>
      <w:bookmarkStart w:id="140" w:name="_Toc19474"/>
      <w:bookmarkStart w:id="141" w:name="_Toc25753"/>
      <w:bookmarkStart w:id="142" w:name="_Toc4316"/>
      <w:r>
        <w:rPr>
          <w:rFonts w:hint="eastAsia"/>
          <w:b w:val="0"/>
          <w:bCs w:val="0"/>
          <w:highlight w:val="none"/>
        </w:rPr>
        <w:t>支撑碳达峰碳中和</w:t>
      </w:r>
      <w:bookmarkEnd w:id="138"/>
      <w:bookmarkEnd w:id="139"/>
      <w:bookmarkEnd w:id="140"/>
      <w:bookmarkEnd w:id="141"/>
      <w:bookmarkEnd w:id="142"/>
    </w:p>
    <w:p>
      <w:pPr>
        <w:rPr>
          <w:highlight w:val="none"/>
        </w:rPr>
      </w:pPr>
      <w:r>
        <w:rPr>
          <w:rFonts w:hint="eastAsia"/>
          <w:highlight w:val="none"/>
        </w:rPr>
        <w:t>推动城镇空间的低碳利用。推动马头镇、马头工业园区、社区、建筑、交通和企业等领域探索绿色低碳发展模式。加快马头镇绿道、新丰江碧道系统、文化游径和健身步道设施网络建设，打造宜步宜骑宜车的低碳交通体系。构建镇区通达的步行和自行车慢行系统，提升绿色出行的安全性和连续性；注重绿色节约，完善基础设施，深入推进城乡生活垃圾分类，并加快能源基础设施建设。</w:t>
      </w:r>
    </w:p>
    <w:p>
      <w:pPr>
        <w:rPr>
          <w:highlight w:val="none"/>
        </w:rPr>
      </w:pPr>
      <w:r>
        <w:rPr>
          <w:rFonts w:hint="eastAsia"/>
          <w:highlight w:val="none"/>
        </w:rPr>
        <w:t>强化农业空间的汇碳功能。注重碳汇农林业发展，强化农业空间碳汇功能，严格落实永久基本农田保护制度，实现耕地和永久基本农田保护，统筹高标准农田建设，以休闲观光农业提高农业固碳持续力。提高农林业生产技术，耕地集中成片整备进而实现规模化，发展资源节约型循环农业，构建多技术综合集成的绿色增产增效模式，巩固农业空间的生态效益。</w:t>
      </w:r>
    </w:p>
    <w:p>
      <w:pPr>
        <w:rPr>
          <w:highlight w:val="none"/>
        </w:rPr>
      </w:pPr>
      <w:r>
        <w:rPr>
          <w:rFonts w:hint="eastAsia"/>
          <w:highlight w:val="none"/>
        </w:rPr>
        <w:t>提高生态空间的增基作用。加强国土空间用途管制，严格落实生态保护红线，保护各类重要生态系统，减少人类活动对自然生态空间的占用，提高生态系统净化能力，推进新丰江、鲁古河国家湿地自然公园、森林等生态系统修复，锚固自然生态空间本底，统筹山水林田湖草系统治理，增强生态空间的碳捕捉、环境优化和气候调节能力，形成山清水秀、林茂草丰、增绿增汇的生态空间。</w:t>
      </w:r>
    </w:p>
    <w:p>
      <w:pPr>
        <w:rPr>
          <w:highlight w:val="none"/>
        </w:rPr>
      </w:pPr>
      <w:bookmarkStart w:id="143" w:name="_Toc27370"/>
      <w:bookmarkStart w:id="144" w:name="_Toc15217"/>
      <w:bookmarkStart w:id="145" w:name="_Toc23839"/>
      <w:bookmarkStart w:id="146" w:name="_Toc2178"/>
      <w:r>
        <w:rPr>
          <w:rFonts w:hint="eastAsia"/>
          <w:highlight w:val="none"/>
        </w:rPr>
        <w:br w:type="page"/>
      </w:r>
    </w:p>
    <w:p>
      <w:pPr>
        <w:pStyle w:val="4"/>
        <w:numPr>
          <w:ilvl w:val="0"/>
          <w:numId w:val="5"/>
        </w:numPr>
        <w:spacing w:before="312" w:after="312"/>
        <w:ind w:left="0" w:firstLine="0"/>
        <w:rPr>
          <w:b w:val="0"/>
          <w:bCs w:val="0"/>
          <w:highlight w:val="none"/>
        </w:rPr>
      </w:pPr>
      <w:bookmarkStart w:id="147" w:name="_Toc1127"/>
      <w:r>
        <w:rPr>
          <w:rFonts w:hint="eastAsia"/>
          <w:b w:val="0"/>
          <w:bCs w:val="0"/>
          <w:highlight w:val="none"/>
        </w:rPr>
        <w:t>城乡统筹发展</w:t>
      </w:r>
      <w:bookmarkEnd w:id="143"/>
      <w:bookmarkEnd w:id="144"/>
      <w:bookmarkEnd w:id="145"/>
      <w:bookmarkEnd w:id="146"/>
      <w:bookmarkEnd w:id="147"/>
    </w:p>
    <w:p>
      <w:pPr>
        <w:pStyle w:val="5"/>
        <w:numPr>
          <w:ilvl w:val="0"/>
          <w:numId w:val="6"/>
        </w:numPr>
        <w:spacing w:before="156" w:beforeLines="50" w:after="156" w:afterLines="50"/>
        <w:rPr>
          <w:highlight w:val="none"/>
        </w:rPr>
      </w:pPr>
      <w:bookmarkStart w:id="148" w:name="_Toc5753"/>
      <w:r>
        <w:rPr>
          <w:rFonts w:hint="eastAsia"/>
          <w:highlight w:val="none"/>
        </w:rPr>
        <w:t>镇村体系与村庄引导</w:t>
      </w:r>
      <w:bookmarkEnd w:id="148"/>
    </w:p>
    <w:p>
      <w:pPr>
        <w:pStyle w:val="6"/>
        <w:rPr>
          <w:b w:val="0"/>
          <w:bCs w:val="0"/>
          <w:highlight w:val="none"/>
        </w:rPr>
      </w:pPr>
      <w:bookmarkStart w:id="149" w:name="_Toc1587"/>
      <w:r>
        <w:rPr>
          <w:rFonts w:hint="eastAsia"/>
          <w:b w:val="0"/>
          <w:bCs w:val="0"/>
          <w:highlight w:val="none"/>
        </w:rPr>
        <w:t>镇域镇村体系规划</w:t>
      </w:r>
      <w:bookmarkEnd w:id="149"/>
    </w:p>
    <w:p>
      <w:pPr>
        <w:rPr>
          <w:highlight w:val="none"/>
        </w:rPr>
      </w:pPr>
      <w:r>
        <w:rPr>
          <w:rFonts w:hint="eastAsia"/>
          <w:highlight w:val="none"/>
        </w:rPr>
        <w:t>规划形成“镇区-重点村-一般村”三级体系结构。镇区所在地为湖塘村、雅盖村，重点布局行政管理、居住和就业服务等功能。重点村为石角村、岭头村、雅盖村、</w:t>
      </w:r>
      <w:r>
        <w:rPr>
          <w:highlight w:val="none"/>
        </w:rPr>
        <w:t>乌石岗村</w:t>
      </w:r>
      <w:r>
        <w:rPr>
          <w:rFonts w:hint="eastAsia"/>
          <w:highlight w:val="none"/>
        </w:rPr>
        <w:t>、</w:t>
      </w:r>
      <w:r>
        <w:rPr>
          <w:highlight w:val="none"/>
        </w:rPr>
        <w:t>军三村、军一村、潭石村、福水村</w:t>
      </w:r>
      <w:r>
        <w:rPr>
          <w:rFonts w:hint="eastAsia"/>
          <w:highlight w:val="none"/>
        </w:rPr>
        <w:t>，引导周边村资源、人口向“据点”集聚，提升资源配置效率与效益。一般村共21个，重点优化村民居住条件和生态环境。</w:t>
      </w:r>
    </w:p>
    <w:p>
      <w:pPr>
        <w:pStyle w:val="2"/>
        <w:rPr>
          <w:rFonts w:eastAsia="仿宋"/>
          <w:b/>
          <w:bCs/>
          <w:sz w:val="28"/>
          <w:szCs w:val="28"/>
          <w:highlight w:val="none"/>
          <w:lang w:bidi="ar"/>
        </w:rPr>
      </w:pPr>
      <w:r>
        <w:rPr>
          <w:rFonts w:hint="eastAsia" w:eastAsia="仿宋"/>
          <w:b/>
          <w:bCs/>
          <w:sz w:val="28"/>
          <w:szCs w:val="28"/>
          <w:highlight w:val="none"/>
          <w:lang w:bidi="ar"/>
        </w:rPr>
        <w:t>镇域镇村体系结构规划表</w:t>
      </w:r>
    </w:p>
    <w:tbl>
      <w:tblPr>
        <w:tblStyle w:val="24"/>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585"/>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shd w:val="clear" w:color="auto" w:fill="A4A4A4" w:themeFill="background1" w:themeFillShade="A5"/>
            <w:vAlign w:val="center"/>
          </w:tcPr>
          <w:p>
            <w:pPr>
              <w:pStyle w:val="3"/>
              <w:ind w:firstLine="0" w:firstLineChars="0"/>
              <w:jc w:val="center"/>
              <w:rPr>
                <w:b/>
                <w:bCs/>
                <w:highlight w:val="none"/>
              </w:rPr>
            </w:pPr>
            <w:r>
              <w:rPr>
                <w:rFonts w:hint="eastAsia"/>
                <w:b/>
                <w:bCs/>
                <w:highlight w:val="none"/>
              </w:rPr>
              <w:t>城镇等级</w:t>
            </w:r>
          </w:p>
        </w:tc>
        <w:tc>
          <w:tcPr>
            <w:tcW w:w="1585" w:type="dxa"/>
            <w:shd w:val="clear" w:color="auto" w:fill="A4A4A4" w:themeFill="background1" w:themeFillShade="A5"/>
            <w:vAlign w:val="center"/>
          </w:tcPr>
          <w:p>
            <w:pPr>
              <w:pStyle w:val="3"/>
              <w:ind w:firstLine="0" w:firstLineChars="0"/>
              <w:jc w:val="center"/>
              <w:rPr>
                <w:b/>
                <w:bCs/>
                <w:highlight w:val="none"/>
              </w:rPr>
            </w:pPr>
            <w:r>
              <w:rPr>
                <w:rFonts w:hint="eastAsia"/>
                <w:b/>
                <w:bCs/>
                <w:highlight w:val="none"/>
              </w:rPr>
              <w:t>数量</w:t>
            </w:r>
          </w:p>
        </w:tc>
        <w:tc>
          <w:tcPr>
            <w:tcW w:w="4672" w:type="dxa"/>
            <w:shd w:val="clear" w:color="auto" w:fill="A4A4A4" w:themeFill="background1" w:themeFillShade="A5"/>
            <w:vAlign w:val="center"/>
          </w:tcPr>
          <w:p>
            <w:pPr>
              <w:pStyle w:val="3"/>
              <w:ind w:firstLine="0" w:firstLineChars="0"/>
              <w:jc w:val="center"/>
              <w:rPr>
                <w:b/>
                <w:bCs/>
                <w:highlight w:val="none"/>
              </w:rPr>
            </w:pPr>
            <w:r>
              <w:rPr>
                <w:rFonts w:hint="eastAsia"/>
                <w:b/>
                <w:bCs/>
                <w:highlight w:val="none"/>
              </w:rPr>
              <w:t>具体范围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3"/>
              <w:ind w:firstLine="0" w:firstLineChars="0"/>
              <w:jc w:val="center"/>
              <w:rPr>
                <w:highlight w:val="none"/>
              </w:rPr>
            </w:pPr>
            <w:r>
              <w:rPr>
                <w:rFonts w:hint="eastAsia"/>
                <w:highlight w:val="none"/>
              </w:rPr>
              <w:t>镇区</w:t>
            </w:r>
          </w:p>
        </w:tc>
        <w:tc>
          <w:tcPr>
            <w:tcW w:w="1585" w:type="dxa"/>
            <w:vAlign w:val="center"/>
          </w:tcPr>
          <w:p>
            <w:pPr>
              <w:pStyle w:val="3"/>
              <w:ind w:firstLine="440"/>
              <w:jc w:val="center"/>
              <w:rPr>
                <w:highlight w:val="none"/>
              </w:rPr>
            </w:pPr>
            <w:r>
              <w:rPr>
                <w:rFonts w:hint="eastAsia"/>
                <w:highlight w:val="none"/>
              </w:rPr>
              <w:t>1</w:t>
            </w:r>
          </w:p>
        </w:tc>
        <w:tc>
          <w:tcPr>
            <w:tcW w:w="4672" w:type="dxa"/>
            <w:vAlign w:val="center"/>
          </w:tcPr>
          <w:p>
            <w:pPr>
              <w:pStyle w:val="3"/>
              <w:ind w:firstLine="0" w:firstLineChars="0"/>
              <w:jc w:val="center"/>
              <w:rPr>
                <w:highlight w:val="none"/>
              </w:rPr>
            </w:pPr>
            <w:r>
              <w:rPr>
                <w:rFonts w:hint="eastAsia"/>
                <w:highlight w:val="none"/>
              </w:rPr>
              <w:t>湖塘村村域范围、雅盖村城镇开发边界范围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3"/>
              <w:ind w:firstLine="0" w:firstLineChars="0"/>
              <w:jc w:val="center"/>
              <w:rPr>
                <w:highlight w:val="none"/>
              </w:rPr>
            </w:pPr>
            <w:r>
              <w:rPr>
                <w:rFonts w:hint="eastAsia"/>
                <w:highlight w:val="none"/>
              </w:rPr>
              <w:t>重点村</w:t>
            </w:r>
          </w:p>
        </w:tc>
        <w:tc>
          <w:tcPr>
            <w:tcW w:w="1585" w:type="dxa"/>
            <w:vAlign w:val="center"/>
          </w:tcPr>
          <w:p>
            <w:pPr>
              <w:pStyle w:val="3"/>
              <w:ind w:firstLine="440"/>
              <w:jc w:val="center"/>
              <w:rPr>
                <w:highlight w:val="none"/>
              </w:rPr>
            </w:pPr>
            <w:r>
              <w:rPr>
                <w:rFonts w:hint="eastAsia"/>
                <w:highlight w:val="none"/>
              </w:rPr>
              <w:t>8</w:t>
            </w:r>
          </w:p>
        </w:tc>
        <w:tc>
          <w:tcPr>
            <w:tcW w:w="4672" w:type="dxa"/>
            <w:vAlign w:val="center"/>
          </w:tcPr>
          <w:p>
            <w:pPr>
              <w:pStyle w:val="3"/>
              <w:ind w:firstLine="0" w:firstLineChars="0"/>
              <w:jc w:val="center"/>
              <w:rPr>
                <w:highlight w:val="none"/>
              </w:rPr>
            </w:pPr>
            <w:r>
              <w:rPr>
                <w:rFonts w:hint="eastAsia"/>
                <w:highlight w:val="none"/>
              </w:rPr>
              <w:t>雅盖村、石角村、岭头村、</w:t>
            </w:r>
            <w:r>
              <w:rPr>
                <w:highlight w:val="none"/>
              </w:rPr>
              <w:t>乌石岗村</w:t>
            </w:r>
            <w:r>
              <w:rPr>
                <w:rFonts w:hint="eastAsia"/>
                <w:highlight w:val="none"/>
              </w:rPr>
              <w:t>、</w:t>
            </w:r>
            <w:r>
              <w:rPr>
                <w:highlight w:val="none"/>
              </w:rPr>
              <w:t>军三村、军一村、潭石村、福水村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2" w:type="dxa"/>
            <w:vAlign w:val="center"/>
          </w:tcPr>
          <w:p>
            <w:pPr>
              <w:pStyle w:val="3"/>
              <w:ind w:firstLine="0" w:firstLineChars="0"/>
              <w:jc w:val="center"/>
              <w:rPr>
                <w:highlight w:val="none"/>
              </w:rPr>
            </w:pPr>
            <w:r>
              <w:rPr>
                <w:rFonts w:hint="eastAsia"/>
                <w:highlight w:val="none"/>
              </w:rPr>
              <w:t>一般村</w:t>
            </w:r>
          </w:p>
        </w:tc>
        <w:tc>
          <w:tcPr>
            <w:tcW w:w="1585" w:type="dxa"/>
            <w:vAlign w:val="center"/>
          </w:tcPr>
          <w:p>
            <w:pPr>
              <w:pStyle w:val="3"/>
              <w:ind w:firstLine="440"/>
              <w:jc w:val="center"/>
              <w:rPr>
                <w:highlight w:val="none"/>
              </w:rPr>
            </w:pPr>
            <w:r>
              <w:rPr>
                <w:rFonts w:hint="eastAsia"/>
                <w:highlight w:val="none"/>
              </w:rPr>
              <w:t>21</w:t>
            </w:r>
          </w:p>
        </w:tc>
        <w:tc>
          <w:tcPr>
            <w:tcW w:w="4672" w:type="dxa"/>
            <w:vAlign w:val="center"/>
          </w:tcPr>
          <w:p>
            <w:pPr>
              <w:pStyle w:val="3"/>
              <w:ind w:firstLine="0" w:firstLineChars="0"/>
              <w:jc w:val="center"/>
              <w:rPr>
                <w:highlight w:val="none"/>
              </w:rPr>
            </w:pPr>
            <w:r>
              <w:rPr>
                <w:highlight w:val="none"/>
              </w:rPr>
              <w:t>坪山村、塘尾村、寨下村、水背村、文义村、路下村、桐木山村、横岭村、湾田村、罗陂村、上湾村、层坑村、军二村、科罗村、张田坑村、秀田村、秀坑村、大陂村、雅坑村、</w:t>
            </w:r>
            <w:r>
              <w:rPr>
                <w:rFonts w:hint="eastAsia"/>
                <w:highlight w:val="none"/>
                <w:lang w:eastAsia="zh-CN"/>
              </w:rPr>
              <w:t>姜坑</w:t>
            </w:r>
            <w:r>
              <w:rPr>
                <w:rFonts w:hint="eastAsia"/>
                <w:highlight w:val="none"/>
              </w:rPr>
              <w:t>村</w:t>
            </w:r>
            <w:r>
              <w:rPr>
                <w:highlight w:val="none"/>
              </w:rPr>
              <w:t>、板岭下村</w:t>
            </w:r>
          </w:p>
        </w:tc>
      </w:tr>
    </w:tbl>
    <w:p>
      <w:pPr>
        <w:pStyle w:val="6"/>
        <w:rPr>
          <w:b w:val="0"/>
          <w:bCs w:val="0"/>
          <w:highlight w:val="none"/>
        </w:rPr>
      </w:pPr>
      <w:bookmarkStart w:id="150" w:name="_Toc22755"/>
      <w:r>
        <w:rPr>
          <w:rFonts w:hint="eastAsia"/>
          <w:b w:val="0"/>
          <w:bCs w:val="0"/>
          <w:highlight w:val="none"/>
        </w:rPr>
        <w:t>分类引导村庄建设</w:t>
      </w:r>
      <w:bookmarkEnd w:id="150"/>
    </w:p>
    <w:p>
      <w:pPr>
        <w:rPr>
          <w:highlight w:val="none"/>
        </w:rPr>
      </w:pPr>
      <w:r>
        <w:rPr>
          <w:rFonts w:hint="eastAsia"/>
          <w:highlight w:val="none"/>
        </w:rPr>
        <w:t>落实新丰县马头镇乡村振兴发展规划，结合《广东省村庄分类办法》，将镇域内30个行政村分为集聚提升类、城郊融合类、特色保护类、一般发展类4种，分类推动村庄差异化有序发展。后期</w:t>
      </w:r>
      <w:r>
        <w:rPr>
          <w:highlight w:val="none"/>
        </w:rPr>
        <w:t>村庄的划分类型根据</w:t>
      </w:r>
      <w:r>
        <w:rPr>
          <w:rFonts w:hint="eastAsia"/>
          <w:highlight w:val="none"/>
        </w:rPr>
        <w:t>县</w:t>
      </w:r>
      <w:r>
        <w:rPr>
          <w:highlight w:val="none"/>
        </w:rPr>
        <w:t>农业农村部门村庄分类情况进行动态调整。</w:t>
      </w:r>
    </w:p>
    <w:p>
      <w:pPr>
        <w:rPr>
          <w:highlight w:val="none"/>
        </w:rPr>
      </w:pPr>
      <w:r>
        <w:rPr>
          <w:rFonts w:hint="eastAsia"/>
          <w:highlight w:val="none"/>
        </w:rPr>
        <w:t>集聚提升类村庄（共15个）：推动乡村建设与产业发展互促互进，以乡村产业发展为主要方向，支持农业、工贸、休闲服务等专业化村庄发展。持续改善农村人居环境，加强基础设施和公共服务体系建设，提高人居环境舒适度、基础设施完备度、公共服务便利度，促进人口与产业有序集聚提升。</w:t>
      </w:r>
    </w:p>
    <w:p>
      <w:pPr>
        <w:rPr>
          <w:highlight w:val="none"/>
        </w:rPr>
      </w:pPr>
      <w:r>
        <w:rPr>
          <w:rFonts w:hint="eastAsia"/>
          <w:highlight w:val="none"/>
        </w:rPr>
        <w:t>城郊融合类村庄（共4个）：加快实现城乡人居环境、基础设施和公共服务共建共享、互联互通。充分发挥区位优势，培育发展主导产业，逐步强化服务城镇发展、满足城镇消费需求能力，支持农业、工贸、商贸、休闲服务等专业化村庄发展，推动城乡产业、人才、资源等要素双向流动，率先实现城乡融合一体化发展。</w:t>
      </w:r>
    </w:p>
    <w:p>
      <w:pPr>
        <w:rPr>
          <w:highlight w:val="none"/>
        </w:rPr>
      </w:pPr>
      <w:r>
        <w:rPr>
          <w:rFonts w:hint="eastAsia"/>
          <w:highlight w:val="none"/>
        </w:rPr>
        <w:t>特色保护类村庄（共3个）:加强对传统村落、传统建筑调研，结合古村落空间布局、特色景观、民俗习惯、少数民族文化等，在保护原有村庄格局、风貌与尊重乡村风俗习惯基础上，发展特色旅游与特色产业，加快改善和提升公共基础设施、服务设施。</w:t>
      </w:r>
    </w:p>
    <w:p>
      <w:pPr>
        <w:rPr>
          <w:highlight w:val="none"/>
        </w:rPr>
      </w:pPr>
      <w:r>
        <w:rPr>
          <w:rFonts w:hint="eastAsia"/>
          <w:highlight w:val="none"/>
        </w:rPr>
        <w:t>一般发展类村庄（共8个）：统筹乡村基础设施和公共服务布局建设，开展农村人居环境整治提升，以普惠性、基础性、兜底性民生建设为重点，逐步补齐基础设施和公共服务短板。支持传统产业发展，盘活利用村庄资产资源发展壮大乡村产业。</w:t>
      </w:r>
    </w:p>
    <w:p>
      <w:pPr>
        <w:pStyle w:val="2"/>
        <w:rPr>
          <w:rFonts w:eastAsia="仿宋"/>
          <w:b/>
          <w:bCs/>
          <w:sz w:val="28"/>
          <w:szCs w:val="28"/>
          <w:highlight w:val="none"/>
          <w:lang w:bidi="ar"/>
        </w:rPr>
      </w:pPr>
    </w:p>
    <w:p>
      <w:pPr>
        <w:pStyle w:val="2"/>
        <w:rPr>
          <w:rFonts w:eastAsia="仿宋"/>
          <w:b/>
          <w:bCs/>
          <w:sz w:val="28"/>
          <w:szCs w:val="28"/>
          <w:highlight w:val="none"/>
          <w:lang w:bidi="ar"/>
        </w:rPr>
      </w:pPr>
    </w:p>
    <w:p>
      <w:pPr>
        <w:pStyle w:val="2"/>
        <w:rPr>
          <w:rFonts w:eastAsia="仿宋"/>
          <w:b/>
          <w:bCs/>
          <w:sz w:val="28"/>
          <w:szCs w:val="28"/>
          <w:highlight w:val="none"/>
          <w:lang w:bidi="ar"/>
        </w:rPr>
      </w:pPr>
      <w:r>
        <w:rPr>
          <w:rFonts w:hint="eastAsia" w:eastAsia="仿宋"/>
          <w:b/>
          <w:bCs/>
          <w:sz w:val="28"/>
          <w:szCs w:val="28"/>
          <w:highlight w:val="none"/>
          <w:lang w:bidi="ar"/>
        </w:rPr>
        <w:t>村庄分类一览表</w:t>
      </w:r>
    </w:p>
    <w:tbl>
      <w:tblPr>
        <w:tblStyle w:val="23"/>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00"/>
        <w:gridCol w:w="1387"/>
        <w:gridCol w:w="135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p>
        </w:tc>
        <w:tc>
          <w:tcPr>
            <w:tcW w:w="1850"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rPr>
              <w:t>集聚提升类</w:t>
            </w:r>
          </w:p>
        </w:tc>
        <w:tc>
          <w:tcPr>
            <w:tcW w:w="82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rPr>
              <w:t>城郊融合类</w:t>
            </w:r>
          </w:p>
        </w:tc>
        <w:tc>
          <w:tcPr>
            <w:tcW w:w="809"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rPr>
              <w:t>特色保护类</w:t>
            </w:r>
          </w:p>
        </w:tc>
        <w:tc>
          <w:tcPr>
            <w:tcW w:w="1001"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rPr>
              <w:t>一般发展类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tcBorders>
              <w:top w:val="single" w:color="auto" w:sz="4" w:space="0"/>
              <w:left w:val="single" w:color="auto" w:sz="4" w:space="0"/>
              <w:right w:val="single" w:color="auto" w:sz="4" w:space="0"/>
            </w:tcBorders>
            <w:vAlign w:val="center"/>
          </w:tcPr>
          <w:p>
            <w:pPr>
              <w:pStyle w:val="3"/>
              <w:ind w:firstLine="0" w:firstLineChars="0"/>
              <w:jc w:val="center"/>
              <w:rPr>
                <w:highlight w:val="none"/>
              </w:rPr>
            </w:pPr>
            <w:r>
              <w:rPr>
                <w:rFonts w:hint="eastAsia"/>
                <w:highlight w:val="none"/>
              </w:rPr>
              <w:t>村庄名称</w:t>
            </w:r>
          </w:p>
        </w:tc>
        <w:tc>
          <w:tcPr>
            <w:tcW w:w="1850"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rPr>
              <w:t>雅盖村、湾田村、大陂村、福水村、军一村、军二村、军三村、层坑村、石角村、寨下村、水背村、岭头村、罗陂村、张田坑村、桐木山村</w:t>
            </w:r>
          </w:p>
        </w:tc>
        <w:tc>
          <w:tcPr>
            <w:tcW w:w="82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rPr>
              <w:t>湖塘村、秀坑村、潭石村、乌石岗村</w:t>
            </w:r>
          </w:p>
        </w:tc>
        <w:tc>
          <w:tcPr>
            <w:tcW w:w="809"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rPr>
              <w:t>科罗村、秀田村、板岭下村</w:t>
            </w:r>
          </w:p>
        </w:tc>
        <w:tc>
          <w:tcPr>
            <w:tcW w:w="1001"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highlight w:val="none"/>
              </w:rPr>
            </w:pPr>
            <w:r>
              <w:rPr>
                <w:rFonts w:hint="eastAsia"/>
                <w:highlight w:val="none"/>
                <w:lang w:eastAsia="zh-CN"/>
              </w:rPr>
              <w:t>姜坑</w:t>
            </w:r>
            <w:r>
              <w:rPr>
                <w:rFonts w:hint="eastAsia"/>
                <w:highlight w:val="none"/>
              </w:rPr>
              <w:t>村、雅坑村、路下村、塘尾村、文义村、横岭村、坪山村、上湾村</w:t>
            </w:r>
          </w:p>
        </w:tc>
      </w:tr>
    </w:tbl>
    <w:p>
      <w:pPr>
        <w:pStyle w:val="6"/>
        <w:rPr>
          <w:b w:val="0"/>
          <w:bCs w:val="0"/>
          <w:highlight w:val="none"/>
        </w:rPr>
      </w:pPr>
      <w:bookmarkStart w:id="151" w:name="_Toc45"/>
      <w:r>
        <w:rPr>
          <w:rFonts w:hint="eastAsia"/>
          <w:b w:val="0"/>
          <w:bCs w:val="0"/>
          <w:highlight w:val="none"/>
        </w:rPr>
        <w:t>村庄发展指引</w:t>
      </w:r>
      <w:bookmarkEnd w:id="151"/>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22" w:type="dxa"/>
            <w:shd w:val="clear" w:color="auto" w:fill="BEBEBE" w:themeFill="background1" w:themeFillShade="BF"/>
          </w:tcPr>
          <w:p>
            <w:pPr>
              <w:jc w:val="center"/>
              <w:rPr>
                <w:color w:val="7F7F7F" w:themeColor="background1" w:themeShade="80"/>
                <w:highlight w:val="none"/>
              </w:rPr>
            </w:pPr>
            <w:r>
              <w:rPr>
                <w:rFonts w:hint="eastAsia" w:eastAsia="黑体"/>
                <w:highlight w:val="none"/>
              </w:rPr>
              <w:t>专栏6-1：马头镇村庄发展指引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湖塘村：依托圩镇、工业园优势，以“城乡一体化”为方向，积极推动村民“入园”务工，鼓励村民结合自身实际条件发展服务业。积极推进土地流转，引入优质农业企业进行规模农业发展。探索花卉种植。</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雅盖村：利用白花林原始森林绿色资源，打造旅游公路开发百花林，紧跟旅游新态势，构建吃、食、行、游、乐模式，生态旅游与当地产业相结合，促进当地的经济发展。进而衍生出乡村生态旅游，实现产游一体的发展思路。积极推进土地流转，引入优质农业企业进行规模农业发展。</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石角村：</w:t>
            </w:r>
            <w:r>
              <w:rPr>
                <w:color w:val="000000" w:themeColor="text1"/>
                <w:highlight w:val="none"/>
                <w:lang w:bidi="ar"/>
                <w14:textFill>
                  <w14:solidFill>
                    <w14:schemeClr w14:val="tx1"/>
                  </w14:solidFill>
                </w14:textFill>
              </w:rPr>
              <w:t>大力发展豆腐产业链，形成品牌效</w:t>
            </w:r>
            <w:r>
              <w:rPr>
                <w:rFonts w:hint="eastAsia"/>
                <w:color w:val="000000" w:themeColor="text1"/>
                <w:highlight w:val="none"/>
                <w:lang w:bidi="ar"/>
                <w14:textFill>
                  <w14:solidFill>
                    <w14:schemeClr w14:val="tx1"/>
                  </w14:solidFill>
                </w14:textFill>
              </w:rPr>
              <w:t>应；开展山泉水高密度养鱼，利用现有鱼塘和石角水库进行高密度养鱼。</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岭头村</w:t>
            </w:r>
            <w:r>
              <w:rPr>
                <w:rFonts w:hint="eastAsia"/>
                <w:color w:val="000000" w:themeColor="text1"/>
                <w:highlight w:val="none"/>
                <w14:textFill>
                  <w14:solidFill>
                    <w14:schemeClr w14:val="tx1"/>
                  </w14:solidFill>
                </w14:textFill>
              </w:rPr>
              <w:t>：</w:t>
            </w:r>
            <w:r>
              <w:rPr>
                <w:color w:val="000000" w:themeColor="text1"/>
                <w:highlight w:val="none"/>
                <w:lang w:bidi="ar"/>
                <w14:textFill>
                  <w14:solidFill>
                    <w14:schemeClr w14:val="tx1"/>
                  </w14:solidFill>
                </w14:textFill>
              </w:rPr>
              <w:t>大面积发展番薯、水稻种植业，做好</w:t>
            </w:r>
            <w:r>
              <w:rPr>
                <w:rFonts w:hint="eastAsia"/>
                <w:color w:val="000000" w:themeColor="text1"/>
                <w:highlight w:val="none"/>
                <w:lang w:bidi="ar"/>
                <w14:textFill>
                  <w14:solidFill>
                    <w14:schemeClr w14:val="tx1"/>
                  </w14:solidFill>
                </w14:textFill>
              </w:rPr>
              <w:t>薯干特色农产品，延长番薯产业链，打造番薯基地。</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乌石岗村：</w:t>
            </w:r>
            <w:r>
              <w:rPr>
                <w:color w:val="000000" w:themeColor="text1"/>
                <w:highlight w:val="none"/>
                <w:lang w:bidi="ar"/>
                <w14:textFill>
                  <w14:solidFill>
                    <w14:schemeClr w14:val="tx1"/>
                  </w14:solidFill>
                </w14:textFill>
              </w:rPr>
              <w:t>发展乌石岗村风貌提升示范带，高质</w:t>
            </w:r>
            <w:r>
              <w:rPr>
                <w:rFonts w:hint="eastAsia"/>
                <w:color w:val="000000" w:themeColor="text1"/>
                <w:highlight w:val="none"/>
                <w:lang w:bidi="ar"/>
                <w14:textFill>
                  <w14:solidFill>
                    <w14:schemeClr w14:val="tx1"/>
                  </w14:solidFill>
                </w14:textFill>
              </w:rPr>
              <w:t>量建设“美丽乡村”“美丽庭院”，发展乡村休闲旅游业。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军三村：</w:t>
            </w:r>
            <w:r>
              <w:rPr>
                <w:color w:val="000000" w:themeColor="text1"/>
                <w:highlight w:val="none"/>
                <w:lang w:bidi="ar"/>
                <w14:textFill>
                  <w14:solidFill>
                    <w14:schemeClr w14:val="tx1"/>
                  </w14:solidFill>
                </w14:textFill>
              </w:rPr>
              <w:t>成立农民专业合作社，以“公司+基</w:t>
            </w:r>
            <w:r>
              <w:rPr>
                <w:rFonts w:hint="eastAsia"/>
                <w:color w:val="000000" w:themeColor="text1"/>
                <w:highlight w:val="none"/>
                <w:lang w:bidi="ar"/>
                <w14:textFill>
                  <w14:solidFill>
                    <w14:schemeClr w14:val="tx1"/>
                  </w14:solidFill>
                </w14:textFill>
              </w:rPr>
              <w:t>地</w:t>
            </w:r>
            <w:r>
              <w:rPr>
                <w:color w:val="000000" w:themeColor="text1"/>
                <w:highlight w:val="none"/>
                <w:lang w:bidi="ar"/>
                <w14:textFill>
                  <w14:solidFill>
                    <w14:schemeClr w14:val="tx1"/>
                  </w14:solidFill>
                </w14:textFill>
              </w:rPr>
              <w:t>+合作社+农户”的模式，发展甘蔗、</w:t>
            </w:r>
            <w:r>
              <w:rPr>
                <w:rFonts w:hint="eastAsia"/>
                <w:color w:val="000000" w:themeColor="text1"/>
                <w:highlight w:val="none"/>
                <w:lang w:bidi="ar"/>
                <w14:textFill>
                  <w14:solidFill>
                    <w14:schemeClr w14:val="tx1"/>
                  </w14:solidFill>
                </w14:textFill>
              </w:rPr>
              <w:t>玉米、嘉宝果种植业。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军一村：</w:t>
            </w:r>
            <w:r>
              <w:rPr>
                <w:color w:val="000000" w:themeColor="text1"/>
                <w:highlight w:val="none"/>
                <w:lang w:bidi="ar"/>
                <w14:textFill>
                  <w14:solidFill>
                    <w14:schemeClr w14:val="tx1"/>
                  </w14:solidFill>
                </w14:textFill>
              </w:rPr>
              <w:t>抓住农科集团的发展机遇，加快土地</w:t>
            </w:r>
            <w:r>
              <w:rPr>
                <w:rFonts w:hint="eastAsia"/>
                <w:color w:val="000000" w:themeColor="text1"/>
                <w:highlight w:val="none"/>
                <w:lang w:bidi="ar"/>
                <w14:textFill>
                  <w14:solidFill>
                    <w14:schemeClr w14:val="tx1"/>
                  </w14:solidFill>
                </w14:textFill>
              </w:rPr>
              <w:t>流转；发展本土手工豆腐、鹰嘴桃等特色饮食和水果产业；发展红色文旅产业，发展乡村农庄美食、打造精品民宿等文旅经济。</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潭石村：</w:t>
            </w:r>
            <w:r>
              <w:rPr>
                <w:color w:val="000000" w:themeColor="text1"/>
                <w:highlight w:val="none"/>
                <w:lang w:bidi="ar"/>
                <w14:textFill>
                  <w14:solidFill>
                    <w14:schemeClr w14:val="tx1"/>
                  </w14:solidFill>
                </w14:textFill>
              </w:rPr>
              <w:t>进一步发展“黄金百香果”特色农业，</w:t>
            </w:r>
            <w:r>
              <w:rPr>
                <w:rFonts w:hint="eastAsia"/>
                <w:color w:val="000000" w:themeColor="text1"/>
                <w:highlight w:val="none"/>
                <w:lang w:bidi="ar"/>
                <w14:textFill>
                  <w14:solidFill>
                    <w14:schemeClr w14:val="tx1"/>
                  </w14:solidFill>
                </w14:textFill>
              </w:rPr>
              <w:t>完善果园基础设施；进一步加强“九栋十八井”宣传力度，开发建设白桦林景区，打造潭石村品牌；尽力争取政府政策，着力打造船潭一江两岸景色，发展乡村旅游业。推动特色农业、旅游业齐头并进。</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福水村：</w:t>
            </w:r>
            <w:r>
              <w:rPr>
                <w:color w:val="000000" w:themeColor="text1"/>
                <w:highlight w:val="none"/>
                <w:lang w:bidi="ar"/>
                <w14:textFill>
                  <w14:solidFill>
                    <w14:schemeClr w14:val="tx1"/>
                  </w14:solidFill>
                </w14:textFill>
              </w:rPr>
              <w:t>发展水稻、番薯、花生种植业，抓住</w:t>
            </w:r>
            <w:r>
              <w:rPr>
                <w:rFonts w:hint="eastAsia"/>
                <w:color w:val="000000" w:themeColor="text1"/>
                <w:highlight w:val="none"/>
                <w:lang w:bidi="ar"/>
                <w14:textFill>
                  <w14:solidFill>
                    <w14:schemeClr w14:val="tx1"/>
                  </w14:solidFill>
                </w14:textFill>
              </w:rPr>
              <w:t>药材种植公司和深圳市农科蔬菜科技有限公司入驻机遇，发展药材产业和蔬菜产业；挖掘红色资源，结合“芳华水韵”示范带建设，以“绿色</w:t>
            </w:r>
            <w:r>
              <w:rPr>
                <w:color w:val="000000" w:themeColor="text1"/>
                <w:highlight w:val="none"/>
                <w:lang w:bidi="ar"/>
                <w14:textFill>
                  <w14:solidFill>
                    <w14:schemeClr w14:val="tx1"/>
                  </w14:solidFill>
                </w14:textFill>
              </w:rPr>
              <w:t>+红</w:t>
            </w:r>
            <w:r>
              <w:rPr>
                <w:rFonts w:hint="eastAsia"/>
                <w:color w:val="000000" w:themeColor="text1"/>
                <w:highlight w:val="none"/>
                <w:lang w:bidi="ar"/>
                <w14:textFill>
                  <w14:solidFill>
                    <w14:schemeClr w14:val="tx1"/>
                  </w14:solidFill>
                </w14:textFill>
              </w:rPr>
              <w:t>色”相结合，打造一河两岸乡村红色旅游观光区。</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坪山村</w:t>
            </w:r>
            <w:r>
              <w:rPr>
                <w:rFonts w:hint="eastAsia"/>
                <w:color w:val="000000" w:themeColor="text1"/>
                <w:highlight w:val="none"/>
                <w14:textFill>
                  <w14:solidFill>
                    <w14:schemeClr w14:val="tx1"/>
                  </w14:solidFill>
                </w14:textFill>
              </w:rPr>
              <w:t>：</w:t>
            </w:r>
            <w:r>
              <w:rPr>
                <w:color w:val="000000" w:themeColor="text1"/>
                <w:highlight w:val="none"/>
                <w:lang w:bidi="ar"/>
                <w14:textFill>
                  <w14:solidFill>
                    <w14:schemeClr w14:val="tx1"/>
                  </w14:solidFill>
                </w14:textFill>
              </w:rPr>
              <w:t>延长番薯产业链；发展走地鸡、番鸭</w:t>
            </w:r>
            <w:r>
              <w:rPr>
                <w:rFonts w:hint="eastAsia"/>
                <w:color w:val="000000" w:themeColor="text1"/>
                <w:highlight w:val="none"/>
                <w:lang w:bidi="ar"/>
                <w14:textFill>
                  <w14:solidFill>
                    <w14:schemeClr w14:val="tx1"/>
                  </w14:solidFill>
                </w14:textFill>
              </w:rPr>
              <w:t>等中小规模特色养殖业。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塘尾村：</w:t>
            </w:r>
            <w:r>
              <w:rPr>
                <w:color w:val="000000" w:themeColor="text1"/>
                <w:highlight w:val="none"/>
                <w:lang w:bidi="ar"/>
                <w14:textFill>
                  <w14:solidFill>
                    <w14:schemeClr w14:val="tx1"/>
                  </w14:solidFill>
                </w14:textFill>
              </w:rPr>
              <w:t>打造番薯基田地，大面积发展番薯，</w:t>
            </w:r>
            <w:r>
              <w:rPr>
                <w:rFonts w:hint="eastAsia"/>
                <w:color w:val="000000" w:themeColor="text1"/>
                <w:highlight w:val="none"/>
                <w:lang w:bidi="ar"/>
                <w14:textFill>
                  <w14:solidFill>
                    <w14:schemeClr w14:val="tx1"/>
                  </w14:solidFill>
                </w14:textFill>
              </w:rPr>
              <w:t>延长番薯产业链。</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寨下村：</w:t>
            </w:r>
            <w:r>
              <w:rPr>
                <w:color w:val="000000" w:themeColor="text1"/>
                <w:highlight w:val="none"/>
                <w:lang w:bidi="ar"/>
                <w14:textFill>
                  <w14:solidFill>
                    <w14:schemeClr w14:val="tx1"/>
                  </w14:solidFill>
                </w14:textFill>
              </w:rPr>
              <w:t>发展优质河鱼。发展撂荒地红薯种植</w:t>
            </w:r>
            <w:r>
              <w:rPr>
                <w:rFonts w:hint="eastAsia"/>
                <w:color w:val="000000" w:themeColor="text1"/>
                <w:highlight w:val="none"/>
                <w:lang w:bidi="ar"/>
                <w14:textFill>
                  <w14:solidFill>
                    <w14:schemeClr w14:val="tx1"/>
                  </w14:solidFill>
                </w14:textFill>
              </w:rPr>
              <w:t>基地，与新大康弘有限公司对接做好复耕，拓展村集体经济产业。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水背村：</w:t>
            </w:r>
            <w:r>
              <w:rPr>
                <w:color w:val="000000" w:themeColor="text1"/>
                <w:highlight w:val="none"/>
                <w:lang w:bidi="ar"/>
                <w14:textFill>
                  <w14:solidFill>
                    <w14:schemeClr w14:val="tx1"/>
                  </w14:solidFill>
                </w14:textFill>
              </w:rPr>
              <w:t>发挥红薯产业优势，做好红薯深加</w:t>
            </w:r>
            <w:r>
              <w:rPr>
                <w:rFonts w:hint="eastAsia"/>
                <w:color w:val="000000" w:themeColor="text1"/>
                <w:highlight w:val="none"/>
                <w:lang w:bidi="ar"/>
                <w14:textFill>
                  <w14:solidFill>
                    <w14:schemeClr w14:val="tx1"/>
                  </w14:solidFill>
                </w14:textFill>
              </w:rPr>
              <w:t>工，延伸产业链；发展农村电商平台，扩大农产品销售途径；发展乡村旅游业。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文义村：</w:t>
            </w:r>
            <w:r>
              <w:rPr>
                <w:color w:val="000000" w:themeColor="text1"/>
                <w:highlight w:val="none"/>
                <w:lang w:bidi="ar"/>
                <w14:textFill>
                  <w14:solidFill>
                    <w14:schemeClr w14:val="tx1"/>
                  </w14:solidFill>
                </w14:textFill>
              </w:rPr>
              <w:t>发展“碧道”开发、康养宜居民宿、</w:t>
            </w:r>
            <w:r>
              <w:rPr>
                <w:rFonts w:hint="eastAsia"/>
                <w:color w:val="000000" w:themeColor="text1"/>
                <w:highlight w:val="none"/>
                <w:lang w:bidi="ar"/>
                <w14:textFill>
                  <w14:solidFill>
                    <w14:schemeClr w14:val="tx1"/>
                  </w14:solidFill>
                </w14:textFill>
              </w:rPr>
              <w:t>体验经济以及花卉观光等旅游业；发展花卉养殖销售产业。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路下村：</w:t>
            </w:r>
            <w:r>
              <w:rPr>
                <w:color w:val="000000" w:themeColor="text1"/>
                <w:highlight w:val="none"/>
                <w:lang w:bidi="ar"/>
                <w14:textFill>
                  <w14:solidFill>
                    <w14:schemeClr w14:val="tx1"/>
                  </w14:solidFill>
                </w14:textFill>
              </w:rPr>
              <w:t>扩大中华蜜蜂养殖规模，成立养蜂合</w:t>
            </w:r>
            <w:r>
              <w:rPr>
                <w:rFonts w:hint="eastAsia"/>
                <w:color w:val="000000" w:themeColor="text1"/>
                <w:highlight w:val="none"/>
                <w:lang w:bidi="ar"/>
                <w14:textFill>
                  <w14:solidFill>
                    <w14:schemeClr w14:val="tx1"/>
                  </w14:solidFill>
                </w14:textFill>
              </w:rPr>
              <w:t>作社，创建品牌；进一步扩大水果种植面积，大力引进高端水果种植；进一步扩大蛋鸡养殖规模；大力发展中药材种植及林下经济。</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桐木山村：</w:t>
            </w:r>
            <w:r>
              <w:rPr>
                <w:color w:val="000000" w:themeColor="text1"/>
                <w:highlight w:val="none"/>
                <w:lang w:bidi="ar"/>
                <w14:textFill>
                  <w14:solidFill>
                    <w14:schemeClr w14:val="tx1"/>
                  </w14:solidFill>
                </w14:textFill>
              </w:rPr>
              <w:t>发展蔬菜种植业、高密度养鱼业；打</w:t>
            </w:r>
            <w:r>
              <w:rPr>
                <w:rFonts w:hint="eastAsia"/>
                <w:color w:val="000000" w:themeColor="text1"/>
                <w:highlight w:val="none"/>
                <w:lang w:bidi="ar"/>
                <w14:textFill>
                  <w14:solidFill>
                    <w14:schemeClr w14:val="tx1"/>
                  </w14:solidFill>
                </w14:textFill>
              </w:rPr>
              <w:t>造生态温泉小镇。</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横岭村：</w:t>
            </w:r>
            <w:r>
              <w:rPr>
                <w:color w:val="000000" w:themeColor="text1"/>
                <w:highlight w:val="none"/>
                <w:lang w:bidi="ar"/>
                <w14:textFill>
                  <w14:solidFill>
                    <w14:schemeClr w14:val="tx1"/>
                  </w14:solidFill>
                </w14:textFill>
              </w:rPr>
              <w:t>发展绿色高效生态农业，种植无公害</w:t>
            </w:r>
            <w:r>
              <w:rPr>
                <w:rFonts w:hint="eastAsia"/>
                <w:color w:val="000000" w:themeColor="text1"/>
                <w:highlight w:val="none"/>
                <w:lang w:bidi="ar"/>
                <w14:textFill>
                  <w14:solidFill>
                    <w14:schemeClr w14:val="tx1"/>
                  </w14:solidFill>
                </w14:textFill>
              </w:rPr>
              <w:t>蔬菜；依托当地生态环境，洽谈生态旅游项目，发展生态旅游业。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湾田村：</w:t>
            </w:r>
            <w:r>
              <w:rPr>
                <w:color w:val="000000" w:themeColor="text1"/>
                <w:highlight w:val="none"/>
                <w:lang w:bidi="ar"/>
                <w14:textFill>
                  <w14:solidFill>
                    <w14:schemeClr w14:val="tx1"/>
                  </w14:solidFill>
                </w14:textFill>
              </w:rPr>
              <w:t>发展特色旅游产业，努力将湾田古树</w:t>
            </w:r>
            <w:r>
              <w:rPr>
                <w:rFonts w:hint="eastAsia"/>
                <w:color w:val="000000" w:themeColor="text1"/>
                <w:highlight w:val="none"/>
                <w:lang w:bidi="ar"/>
                <w14:textFill>
                  <w14:solidFill>
                    <w14:schemeClr w14:val="tx1"/>
                  </w14:solidFill>
                </w14:textFill>
              </w:rPr>
              <w:t>和古屋打造为特色旅游景点，完善旅游设施；继续发展特色养殖业和种植业，扩种牛大力、竹叶牛奶、柑桔等特色产业种植面积。</w:t>
            </w:r>
          </w:p>
          <w:p>
            <w:pPr>
              <w:widowControl/>
              <w:numPr>
                <w:ilvl w:val="255"/>
                <w:numId w:val="0"/>
              </w:numPr>
              <w:ind w:firstLine="60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罗陂村：</w:t>
            </w:r>
            <w:r>
              <w:rPr>
                <w:color w:val="000000" w:themeColor="text1"/>
                <w:highlight w:val="none"/>
                <w:lang w:bidi="ar"/>
                <w14:textFill>
                  <w14:solidFill>
                    <w14:schemeClr w14:val="tx1"/>
                  </w14:solidFill>
                </w14:textFill>
              </w:rPr>
              <w:t>对现有产业进行精细化管理，同时探</w:t>
            </w:r>
            <w:r>
              <w:rPr>
                <w:rFonts w:hint="eastAsia"/>
                <w:color w:val="000000" w:themeColor="text1"/>
                <w:highlight w:val="none"/>
                <w:lang w:bidi="ar"/>
                <w14:textFill>
                  <w14:solidFill>
                    <w14:schemeClr w14:val="tx1"/>
                  </w14:solidFill>
                </w14:textFill>
              </w:rPr>
              <w:t>索养殖荷花鱼，逐步增加养殖面积，配套餐饮、荷花鱼加工、民宿等服务和设施，结合革命老区的红色文化资源，打造红色文化和生态观光的休闲旅游景点。</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上湾村：</w:t>
            </w:r>
            <w:r>
              <w:rPr>
                <w:color w:val="000000" w:themeColor="text1"/>
                <w:highlight w:val="none"/>
                <w:lang w:bidi="ar"/>
                <w14:textFill>
                  <w14:solidFill>
                    <w14:schemeClr w14:val="tx1"/>
                  </w14:solidFill>
                </w14:textFill>
              </w:rPr>
              <w:t>发展绿色食品产业链，结合本地特色</w:t>
            </w:r>
            <w:r>
              <w:rPr>
                <w:rFonts w:hint="eastAsia"/>
                <w:color w:val="000000" w:themeColor="text1"/>
                <w:highlight w:val="none"/>
                <w:lang w:bidi="ar"/>
                <w14:textFill>
                  <w14:solidFill>
                    <w14:schemeClr w14:val="tx1"/>
                  </w14:solidFill>
                </w14:textFill>
              </w:rPr>
              <w:t>的农家蔬菜种植和销售发展综合乡村旅游产业；挖掘秀水庙、新丰店码头旧址以及古驿道等历史资源，发展历史文化产业。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层坑村：</w:t>
            </w:r>
            <w:r>
              <w:rPr>
                <w:color w:val="000000" w:themeColor="text1"/>
                <w:highlight w:val="none"/>
                <w:lang w:bidi="ar"/>
                <w14:textFill>
                  <w14:solidFill>
                    <w14:schemeClr w14:val="tx1"/>
                  </w14:solidFill>
                </w14:textFill>
              </w:rPr>
              <w:t>依托农科集团功能农业产业园项目，</w:t>
            </w:r>
            <w:r>
              <w:rPr>
                <w:rFonts w:hint="eastAsia"/>
                <w:color w:val="000000" w:themeColor="text1"/>
                <w:highlight w:val="none"/>
                <w:lang w:bidi="ar"/>
                <w14:textFill>
                  <w14:solidFill>
                    <w14:schemeClr w14:val="tx1"/>
                  </w14:solidFill>
                </w14:textFill>
              </w:rPr>
              <w:t>发展农业产业园和休闲旅游业，发展以功能农产品选育、生产、加工销售具有健康功能产品为主，同时兼顾休闲采摘、农旅观光及科普教育功能的产业园。</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军二村：</w:t>
            </w:r>
            <w:r>
              <w:rPr>
                <w:color w:val="000000" w:themeColor="text1"/>
                <w:highlight w:val="none"/>
                <w:lang w:bidi="ar"/>
                <w14:textFill>
                  <w14:solidFill>
                    <w14:schemeClr w14:val="tx1"/>
                  </w14:solidFill>
                </w14:textFill>
              </w:rPr>
              <w:t>发展水稻、花生、黄豆、沙糖桔、鹰</w:t>
            </w:r>
            <w:r>
              <w:rPr>
                <w:rFonts w:hint="eastAsia"/>
                <w:color w:val="000000" w:themeColor="text1"/>
                <w:highlight w:val="none"/>
                <w:lang w:bidi="ar"/>
                <w14:textFill>
                  <w14:solidFill>
                    <w14:schemeClr w14:val="tx1"/>
                  </w14:solidFill>
                </w14:textFill>
              </w:rPr>
              <w:t>嘴桃、三华李、早熟李、杨梅、玉米、本地土姜等种植业；发展乡村特色旅</w:t>
            </w:r>
            <w:r>
              <w:rPr>
                <w:color w:val="000000" w:themeColor="text1"/>
                <w:highlight w:val="none"/>
                <w:lang w:bidi="ar"/>
                <w14:textFill>
                  <w14:solidFill>
                    <w14:schemeClr w14:val="tx1"/>
                  </w14:solidFill>
                </w14:textFill>
              </w:rPr>
              <w:t xml:space="preserve"> </w:t>
            </w:r>
            <w:r>
              <w:rPr>
                <w:rFonts w:hint="eastAsia"/>
                <w:color w:val="000000" w:themeColor="text1"/>
                <w:highlight w:val="none"/>
                <w:lang w:bidi="ar"/>
                <w14:textFill>
                  <w14:solidFill>
                    <w14:schemeClr w14:val="tx1"/>
                  </w14:solidFill>
                </w14:textFill>
              </w:rPr>
              <w:t>游业。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科罗村：</w:t>
            </w:r>
            <w:r>
              <w:rPr>
                <w:color w:val="000000" w:themeColor="text1"/>
                <w:highlight w:val="none"/>
                <w:lang w:bidi="ar"/>
                <w14:textFill>
                  <w14:solidFill>
                    <w14:schemeClr w14:val="tx1"/>
                  </w14:solidFill>
                </w14:textFill>
              </w:rPr>
              <w:t>铺筑客家围屋石阶，改造升级环村</w:t>
            </w:r>
            <w:r>
              <w:rPr>
                <w:rFonts w:hint="eastAsia"/>
                <w:color w:val="000000" w:themeColor="text1"/>
                <w:highlight w:val="none"/>
                <w:lang w:bidi="ar"/>
                <w14:textFill>
                  <w14:solidFill>
                    <w14:schemeClr w14:val="tx1"/>
                  </w14:solidFill>
                </w14:textFill>
              </w:rPr>
              <w:t>道，建设人工湖等，以东纵游击队活动路线为依托，契合秀美山水风光，发展红色旅游业和乡村休闲旅游业。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张田坑村：</w:t>
            </w:r>
            <w:r>
              <w:rPr>
                <w:color w:val="000000" w:themeColor="text1"/>
                <w:highlight w:val="none"/>
                <w:lang w:bidi="ar"/>
                <w14:textFill>
                  <w14:solidFill>
                    <w14:schemeClr w14:val="tx1"/>
                  </w14:solidFill>
                </w14:textFill>
              </w:rPr>
              <w:t>以高端花卉为主体，归整用地</w:t>
            </w:r>
            <w:r>
              <w:rPr>
                <w:rFonts w:hint="eastAsia"/>
                <w:color w:val="000000" w:themeColor="text1"/>
                <w:highlight w:val="none"/>
                <w:lang w:bidi="ar"/>
                <w14:textFill>
                  <w14:solidFill>
                    <w14:schemeClr w14:val="tx1"/>
                  </w14:solidFill>
                </w14:textFill>
              </w:rPr>
              <w:t>用于打造花卉基地。</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秀田村：</w:t>
            </w:r>
            <w:r>
              <w:rPr>
                <w:color w:val="000000" w:themeColor="text1"/>
                <w:highlight w:val="none"/>
                <w:lang w:bidi="ar"/>
                <w14:textFill>
                  <w14:solidFill>
                    <w14:schemeClr w14:val="tx1"/>
                  </w14:solidFill>
                </w14:textFill>
              </w:rPr>
              <w:t>依托古树公园、省级特色产业现代农</w:t>
            </w:r>
            <w:r>
              <w:rPr>
                <w:rFonts w:hint="eastAsia"/>
                <w:color w:val="000000" w:themeColor="text1"/>
                <w:highlight w:val="none"/>
                <w:lang w:bidi="ar"/>
                <w14:textFill>
                  <w14:solidFill>
                    <w14:schemeClr w14:val="tx1"/>
                  </w14:solidFill>
                </w14:textFill>
              </w:rPr>
              <w:t>业产业园与城丰蔬菜生产基地，发展绿色农业旅游业；通过拆除破旧泥砖房土地进行盘活，以土地入股的方式招商引资，打造精品民宿。</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秀坑村：</w:t>
            </w:r>
            <w:r>
              <w:rPr>
                <w:color w:val="000000" w:themeColor="text1"/>
                <w:highlight w:val="none"/>
                <w:lang w:bidi="ar"/>
                <w14:textFill>
                  <w14:solidFill>
                    <w14:schemeClr w14:val="tx1"/>
                  </w14:solidFill>
                </w14:textFill>
              </w:rPr>
              <w:t>发展生态有机农业；打造生态步行</w:t>
            </w:r>
            <w:r>
              <w:rPr>
                <w:rFonts w:hint="eastAsia"/>
                <w:color w:val="000000" w:themeColor="text1"/>
                <w:highlight w:val="none"/>
                <w:lang w:bidi="ar"/>
                <w14:textFill>
                  <w14:solidFill>
                    <w14:schemeClr w14:val="tx1"/>
                  </w14:solidFill>
                </w14:textFill>
              </w:rPr>
              <w:t>区；打造集住宿、休闲、美食、旅游为主体的秀坑村观光休闲区。</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大陂村：</w:t>
            </w:r>
            <w:r>
              <w:rPr>
                <w:color w:val="000000" w:themeColor="text1"/>
                <w:highlight w:val="none"/>
                <w:lang w:bidi="ar"/>
                <w14:textFill>
                  <w14:solidFill>
                    <w14:schemeClr w14:val="tx1"/>
                  </w14:solidFill>
                </w14:textFill>
              </w:rPr>
              <w:t xml:space="preserve">发展以红色文化、客家特色民居、特 </w:t>
            </w:r>
            <w:r>
              <w:rPr>
                <w:rFonts w:hint="eastAsia"/>
                <w:color w:val="000000" w:themeColor="text1"/>
                <w:highlight w:val="none"/>
                <w:lang w:bidi="ar"/>
                <w14:textFill>
                  <w14:solidFill>
                    <w14:schemeClr w14:val="tx1"/>
                  </w14:solidFill>
                </w14:textFill>
              </w:rPr>
              <w:t>色民宿、田园农庄为载体，以大陂奇石根雕为特色资源，集旅游、休闲、度假、购物、教育、研学于一体的特色乡村旅游业。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雅坑村：</w:t>
            </w:r>
            <w:r>
              <w:rPr>
                <w:color w:val="000000" w:themeColor="text1"/>
                <w:highlight w:val="none"/>
                <w:lang w:bidi="ar"/>
                <w14:textFill>
                  <w14:solidFill>
                    <w14:schemeClr w14:val="tx1"/>
                  </w14:solidFill>
                </w14:textFill>
              </w:rPr>
              <w:t>构建吃、食、行、游、乐模式，利用</w:t>
            </w:r>
            <w:r>
              <w:rPr>
                <w:rFonts w:hint="eastAsia"/>
                <w:color w:val="000000" w:themeColor="text1"/>
                <w:highlight w:val="none"/>
                <w:lang w:bidi="ar"/>
                <w14:textFill>
                  <w14:solidFill>
                    <w14:schemeClr w14:val="tx1"/>
                  </w14:solidFill>
                </w14:textFill>
              </w:rPr>
              <w:t>交通优势，努力建设雅坑桃花，明月莉，特色农家乐等旅游景点，积极发展特色旅游产业。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姜坑</w:t>
            </w:r>
            <w:r>
              <w:rPr>
                <w:rFonts w:hint="eastAsia"/>
                <w:color w:val="000000" w:themeColor="text1"/>
                <w:highlight w:val="none"/>
                <w14:textFill>
                  <w14:solidFill>
                    <w14:schemeClr w14:val="tx1"/>
                  </w14:solidFill>
                </w14:textFill>
              </w:rPr>
              <w:t>村：</w:t>
            </w:r>
            <w:r>
              <w:rPr>
                <w:color w:val="000000" w:themeColor="text1"/>
                <w:highlight w:val="none"/>
                <w:lang w:bidi="ar"/>
                <w14:textFill>
                  <w14:solidFill>
                    <w14:schemeClr w14:val="tx1"/>
                  </w14:solidFill>
                </w14:textFill>
              </w:rPr>
              <w:t>发展沙糖桔种植业。</w:t>
            </w:r>
          </w:p>
          <w:p>
            <w:pPr>
              <w:widowControl/>
              <w:rPr>
                <w:highlight w:val="none"/>
              </w:rPr>
            </w:pPr>
            <w:r>
              <w:rPr>
                <w:rFonts w:hint="eastAsia"/>
                <w:color w:val="000000" w:themeColor="text1"/>
                <w:highlight w:val="none"/>
                <w14:textFill>
                  <w14:solidFill>
                    <w14:schemeClr w14:val="tx1"/>
                  </w14:solidFill>
                </w14:textFill>
              </w:rPr>
              <w:t>板岭下村：</w:t>
            </w:r>
            <w:r>
              <w:rPr>
                <w:color w:val="000000" w:themeColor="text1"/>
                <w:highlight w:val="none"/>
                <w:lang w:bidi="ar"/>
                <w14:textFill>
                  <w14:solidFill>
                    <w14:schemeClr w14:val="tx1"/>
                  </w14:solidFill>
                </w14:textFill>
              </w:rPr>
              <w:t>继续挖掘红色资源，建设“东江纵队</w:t>
            </w:r>
            <w:r>
              <w:rPr>
                <w:rFonts w:hint="eastAsia"/>
                <w:color w:val="000000" w:themeColor="text1"/>
                <w:highlight w:val="none"/>
                <w:lang w:bidi="ar"/>
                <w14:textFill>
                  <w14:solidFill>
                    <w14:schemeClr w14:val="tx1"/>
                  </w14:solidFill>
                </w14:textFill>
              </w:rPr>
              <w:t>在新丰”红色展览厅，打造红色教育</w:t>
            </w:r>
            <w:r>
              <w:rPr>
                <w:color w:val="000000" w:themeColor="text1"/>
                <w:highlight w:val="none"/>
                <w:lang w:bidi="ar"/>
                <w14:textFill>
                  <w14:solidFill>
                    <w14:schemeClr w14:val="tx1"/>
                  </w14:solidFill>
                </w14:textFill>
              </w:rPr>
              <w:t xml:space="preserve"> </w:t>
            </w:r>
            <w:r>
              <w:rPr>
                <w:rFonts w:hint="eastAsia"/>
                <w:color w:val="000000" w:themeColor="text1"/>
                <w:highlight w:val="none"/>
                <w:lang w:bidi="ar"/>
                <w14:textFill>
                  <w14:solidFill>
                    <w14:schemeClr w14:val="tx1"/>
                  </w14:solidFill>
                </w14:textFill>
              </w:rPr>
              <w:t>基地。抓住马黄线建设机遇，探索旅游资源开发打造。发展南药种植业，延长南药半成品加工产业链。</w:t>
            </w:r>
          </w:p>
        </w:tc>
      </w:tr>
    </w:tbl>
    <w:p>
      <w:pPr>
        <w:pStyle w:val="5"/>
        <w:spacing w:before="156" w:beforeLines="50" w:after="156" w:afterLines="50"/>
        <w:rPr>
          <w:highlight w:val="none"/>
        </w:rPr>
      </w:pPr>
      <w:bookmarkStart w:id="152" w:name="_Toc101"/>
      <w:bookmarkStart w:id="153" w:name="_Toc23919"/>
      <w:bookmarkStart w:id="154" w:name="_Toc19597"/>
      <w:bookmarkStart w:id="155" w:name="_Toc12562"/>
      <w:bookmarkStart w:id="156" w:name="_Toc24211"/>
      <w:r>
        <w:rPr>
          <w:rFonts w:hint="eastAsia"/>
          <w:highlight w:val="none"/>
        </w:rPr>
        <w:t>居住与住房保障</w:t>
      </w:r>
      <w:bookmarkEnd w:id="152"/>
      <w:bookmarkEnd w:id="153"/>
      <w:bookmarkEnd w:id="154"/>
      <w:bookmarkEnd w:id="155"/>
      <w:bookmarkEnd w:id="156"/>
    </w:p>
    <w:p>
      <w:pPr>
        <w:pStyle w:val="6"/>
        <w:rPr>
          <w:b w:val="0"/>
          <w:bCs w:val="0"/>
          <w:highlight w:val="none"/>
        </w:rPr>
      </w:pPr>
      <w:bookmarkStart w:id="157" w:name="_Toc30905"/>
      <w:bookmarkStart w:id="158" w:name="_Toc11890"/>
      <w:bookmarkStart w:id="159" w:name="_Toc14190"/>
      <w:bookmarkStart w:id="160" w:name="_Toc251"/>
      <w:bookmarkStart w:id="161" w:name="_Toc12686"/>
      <w:r>
        <w:rPr>
          <w:rFonts w:hint="eastAsia"/>
          <w:b w:val="0"/>
          <w:bCs w:val="0"/>
          <w:highlight w:val="none"/>
        </w:rPr>
        <w:t>城镇居住空间布局</w:t>
      </w:r>
      <w:bookmarkEnd w:id="157"/>
      <w:bookmarkEnd w:id="158"/>
      <w:bookmarkEnd w:id="159"/>
      <w:bookmarkEnd w:id="160"/>
      <w:bookmarkEnd w:id="161"/>
    </w:p>
    <w:p>
      <w:pPr>
        <w:rPr>
          <w:highlight w:val="none"/>
        </w:rPr>
      </w:pPr>
      <w:r>
        <w:rPr>
          <w:rFonts w:hint="eastAsia"/>
          <w:color w:val="000000" w:themeColor="text1"/>
          <w:szCs w:val="24"/>
          <w:highlight w:val="none"/>
          <w14:textFill>
            <w14:solidFill>
              <w14:schemeClr w14:val="tx1"/>
            </w14:solidFill>
          </w14:textFill>
        </w:rPr>
        <w:t>健全多主体供给、多渠道保障的住房制度。整合盘活社会空置、存量房屋资源，优化住房资源配置，满足不同人群需求。开展多种形式人才住房的探索，完善人才住房供应体系。根据保障性住房需求，科学确定保障性住房发展目标，在规划中统筹落实用地规模、布局，合理把握建设规模和节奏，按照职住平衡原则，优先安排在交通便利、公共设施较为齐全的区域，防止因位置偏远、交通不便等造成房源长期空置。</w:t>
      </w:r>
    </w:p>
    <w:p>
      <w:pPr>
        <w:rPr>
          <w:highlight w:val="none"/>
        </w:rPr>
      </w:pPr>
      <w:r>
        <w:rPr>
          <w:rFonts w:hint="eastAsia"/>
          <w:highlight w:val="none"/>
        </w:rPr>
        <w:t>合理布局城镇居住用地，突出住房居住功能，坚持以保障和改善民生为优先导向，满足合理住房需求，维护社会公平，实现住有所居。提高居住空间承载能力。推进老旧村庄综合整治，修缮城中村外立面，增加必要的公共空间与配套设施，提升空间环境品质。加快推进“三旧”改造，提高居住空间承载能力。</w:t>
      </w:r>
    </w:p>
    <w:p>
      <w:pPr>
        <w:pStyle w:val="6"/>
        <w:rPr>
          <w:b w:val="0"/>
          <w:bCs w:val="0"/>
          <w:highlight w:val="none"/>
        </w:rPr>
      </w:pPr>
      <w:bookmarkStart w:id="162" w:name="_Toc7909"/>
      <w:bookmarkStart w:id="163" w:name="_Toc5400"/>
      <w:bookmarkStart w:id="164" w:name="_Toc18527"/>
      <w:bookmarkStart w:id="165" w:name="_Toc26065"/>
      <w:bookmarkStart w:id="166" w:name="_Toc24403"/>
      <w:r>
        <w:rPr>
          <w:rFonts w:hint="eastAsia"/>
          <w:b w:val="0"/>
          <w:bCs w:val="0"/>
          <w:highlight w:val="none"/>
        </w:rPr>
        <w:t>乡村宅基地空间保障</w:t>
      </w:r>
      <w:bookmarkEnd w:id="162"/>
      <w:bookmarkEnd w:id="163"/>
      <w:bookmarkEnd w:id="164"/>
      <w:bookmarkEnd w:id="165"/>
      <w:bookmarkEnd w:id="166"/>
    </w:p>
    <w:p>
      <w:pPr>
        <w:rPr>
          <w:highlight w:val="none"/>
        </w:rPr>
      </w:pPr>
      <w:bookmarkStart w:id="167" w:name="_Toc32282"/>
      <w:r>
        <w:rPr>
          <w:rFonts w:hint="eastAsia"/>
          <w:highlight w:val="none"/>
        </w:rPr>
        <w:t>新增农村建设用地规模来源为村庄范围内存量未利用建设用地，重点保障近五年增量需求、解决三清三拆的历史遗留问题。五年后的宅基地需求则重点通过村庄存量用地增减挂钩腾挪建设用地规模，村集体建房上楼的模式进行保障。</w:t>
      </w:r>
    </w:p>
    <w:p>
      <w:pPr>
        <w:rPr>
          <w:highlight w:val="none"/>
        </w:rPr>
      </w:pPr>
      <w:r>
        <w:rPr>
          <w:rFonts w:hint="eastAsia"/>
          <w:highlight w:val="none"/>
        </w:rPr>
        <w:t>要充分保障宅基地农户资格权和农民房屋财产权。不得以各种名义违背农民意愿强制流转宅基地和强迫农民“上楼”，不得违法收回农户合法取得的宅基地，不得以退出宅基地作为农民进城落户的条件。严禁城镇居民到农村购买宅基地，严禁下乡利用农村宅基地建设别墅大院和私人会馆。严禁借流转之名违法违规圈占、买卖宅基地。</w:t>
      </w:r>
    </w:p>
    <w:p>
      <w:pPr>
        <w:pStyle w:val="5"/>
        <w:spacing w:before="156" w:beforeLines="50" w:after="156" w:afterLines="50"/>
        <w:rPr>
          <w:highlight w:val="none"/>
        </w:rPr>
      </w:pPr>
      <w:bookmarkStart w:id="168" w:name="_Toc1234"/>
      <w:bookmarkStart w:id="169" w:name="_Toc1977"/>
      <w:bookmarkStart w:id="170" w:name="_Toc28565"/>
      <w:bookmarkStart w:id="171" w:name="_Toc19089"/>
      <w:r>
        <w:rPr>
          <w:rFonts w:hint="eastAsia"/>
          <w:highlight w:val="none"/>
        </w:rPr>
        <w:t>公共服务体系</w:t>
      </w:r>
      <w:bookmarkEnd w:id="167"/>
      <w:bookmarkEnd w:id="168"/>
      <w:bookmarkEnd w:id="169"/>
      <w:bookmarkEnd w:id="170"/>
      <w:bookmarkEnd w:id="171"/>
    </w:p>
    <w:p>
      <w:pPr>
        <w:pStyle w:val="6"/>
        <w:rPr>
          <w:b w:val="0"/>
          <w:bCs w:val="0"/>
          <w:highlight w:val="none"/>
        </w:rPr>
      </w:pPr>
      <w:bookmarkStart w:id="172" w:name="_Toc166095975"/>
      <w:bookmarkStart w:id="173" w:name="_Toc14600"/>
      <w:r>
        <w:rPr>
          <w:rFonts w:hint="eastAsia"/>
          <w:b w:val="0"/>
          <w:bCs w:val="0"/>
          <w:highlight w:val="none"/>
        </w:rPr>
        <w:t>建立公共服务中心体系</w:t>
      </w:r>
      <w:bookmarkEnd w:id="172"/>
      <w:bookmarkEnd w:id="173"/>
    </w:p>
    <w:p>
      <w:pPr>
        <w:rPr>
          <w:color w:val="000000" w:themeColor="text1"/>
          <w:szCs w:val="24"/>
          <w:highlight w:val="none"/>
          <w14:textFill>
            <w14:solidFill>
              <w14:schemeClr w14:val="tx1"/>
            </w14:solidFill>
          </w14:textFill>
        </w:rPr>
      </w:pPr>
      <w:r>
        <w:rPr>
          <w:rFonts w:hint="eastAsia"/>
          <w:highlight w:val="none"/>
        </w:rPr>
        <w:t>全面实施基本公共服务标准化管理，以标准化促进基本公共服务均等化、普惠化、便捷化。</w:t>
      </w:r>
      <w:r>
        <w:rPr>
          <w:rFonts w:hint="eastAsia"/>
          <w:color w:val="000000" w:themeColor="text1"/>
          <w:szCs w:val="24"/>
          <w:highlight w:val="none"/>
          <w14:textFill>
            <w14:solidFill>
              <w14:schemeClr w14:val="tx1"/>
            </w14:solidFill>
          </w14:textFill>
        </w:rPr>
        <w:t>规划构建“镇级</w:t>
      </w:r>
      <w:r>
        <w:rPr>
          <w:color w:val="000000" w:themeColor="text1"/>
          <w:szCs w:val="24"/>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重点</w:t>
      </w:r>
      <w:r>
        <w:rPr>
          <w:color w:val="000000" w:themeColor="text1"/>
          <w:szCs w:val="24"/>
          <w:highlight w:val="none"/>
          <w14:textFill>
            <w14:solidFill>
              <w14:schemeClr w14:val="tx1"/>
            </w14:solidFill>
          </w14:textFill>
        </w:rPr>
        <w:t>村级-一般村级”三级公共服务设施配置体系。</w:t>
      </w:r>
    </w:p>
    <w:p>
      <w:pP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镇级公共服务设施。</w:t>
      </w:r>
      <w:r>
        <w:rPr>
          <w:color w:val="000000" w:themeColor="text1"/>
          <w:szCs w:val="24"/>
          <w:highlight w:val="none"/>
          <w14:textFill>
            <w14:solidFill>
              <w14:schemeClr w14:val="tx1"/>
            </w14:solidFill>
          </w14:textFill>
        </w:rPr>
        <w:t>主要依托镇驻地，统筹布局满足乡村居民日</w:t>
      </w:r>
      <w:r>
        <w:rPr>
          <w:rFonts w:hint="eastAsia"/>
          <w:color w:val="000000" w:themeColor="text1"/>
          <w:szCs w:val="24"/>
          <w:highlight w:val="none"/>
          <w14:textFill>
            <w14:solidFill>
              <w14:schemeClr w14:val="tx1"/>
            </w14:solidFill>
          </w14:textFill>
        </w:rPr>
        <w:t>常生活、</w:t>
      </w:r>
      <w:r>
        <w:rPr>
          <w:color w:val="000000" w:themeColor="text1"/>
          <w:szCs w:val="24"/>
          <w:highlight w:val="none"/>
          <w14:textFill>
            <w14:solidFill>
              <w14:schemeClr w14:val="tx1"/>
            </w14:solidFill>
          </w14:textFill>
        </w:rPr>
        <w:t>生产需求的各类服务要素，形成高级生活圈的服务核心。</w:t>
      </w:r>
    </w:p>
    <w:p>
      <w:pP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重点村级公共服务设施。</w:t>
      </w:r>
      <w:r>
        <w:rPr>
          <w:color w:val="000000" w:themeColor="text1"/>
          <w:szCs w:val="24"/>
          <w:highlight w:val="none"/>
          <w14:textFill>
            <w14:solidFill>
              <w14:schemeClr w14:val="tx1"/>
            </w14:solidFill>
          </w14:textFill>
        </w:rPr>
        <w:t>主要依托各个</w:t>
      </w:r>
      <w:r>
        <w:rPr>
          <w:rFonts w:hint="eastAsia"/>
          <w:color w:val="000000" w:themeColor="text1"/>
          <w:szCs w:val="24"/>
          <w:highlight w:val="none"/>
          <w14:textFill>
            <w14:solidFill>
              <w14:schemeClr w14:val="tx1"/>
            </w14:solidFill>
          </w14:textFill>
        </w:rPr>
        <w:t>重点</w:t>
      </w:r>
      <w:r>
        <w:rPr>
          <w:color w:val="000000" w:themeColor="text1"/>
          <w:szCs w:val="24"/>
          <w:highlight w:val="none"/>
          <w14:textFill>
            <w14:solidFill>
              <w14:schemeClr w14:val="tx1"/>
            </w14:solidFill>
          </w14:textFill>
        </w:rPr>
        <w:t>村，统筹布局级别较</w:t>
      </w:r>
      <w:r>
        <w:rPr>
          <w:rFonts w:hint="eastAsia"/>
          <w:color w:val="000000" w:themeColor="text1"/>
          <w:szCs w:val="24"/>
          <w:highlight w:val="none"/>
          <w14:textFill>
            <w14:solidFill>
              <w14:schemeClr w14:val="tx1"/>
            </w14:solidFill>
          </w14:textFill>
        </w:rPr>
        <w:t>高的服务设施，</w:t>
      </w:r>
      <w:r>
        <w:rPr>
          <w:color w:val="000000" w:themeColor="text1"/>
          <w:szCs w:val="24"/>
          <w:highlight w:val="none"/>
          <w14:textFill>
            <w14:solidFill>
              <w14:schemeClr w14:val="tx1"/>
            </w14:solidFill>
          </w14:textFill>
        </w:rPr>
        <w:t>按照15分钟电动车可达的空间尺度，其服务载体包</w:t>
      </w:r>
      <w:r>
        <w:rPr>
          <w:rFonts w:hint="eastAsia"/>
          <w:color w:val="000000" w:themeColor="text1"/>
          <w:szCs w:val="24"/>
          <w:highlight w:val="none"/>
          <w14:textFill>
            <w14:solidFill>
              <w14:schemeClr w14:val="tx1"/>
            </w14:solidFill>
          </w14:textFill>
        </w:rPr>
        <w:t>括了重点村和乡镇建设区。</w:t>
      </w:r>
    </w:p>
    <w:p>
      <w:pP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一般村级公共服务设施。</w:t>
      </w:r>
      <w:r>
        <w:rPr>
          <w:color w:val="000000" w:themeColor="text1"/>
          <w:szCs w:val="24"/>
          <w:highlight w:val="none"/>
          <w14:textFill>
            <w14:solidFill>
              <w14:schemeClr w14:val="tx1"/>
            </w14:solidFill>
          </w14:textFill>
        </w:rPr>
        <w:t>依托行政村集中居民点或自然村组，综</w:t>
      </w:r>
      <w:r>
        <w:rPr>
          <w:rFonts w:hint="eastAsia"/>
          <w:color w:val="000000" w:themeColor="text1"/>
          <w:szCs w:val="24"/>
          <w:highlight w:val="none"/>
          <w14:textFill>
            <w14:solidFill>
              <w14:schemeClr w14:val="tx1"/>
            </w14:solidFill>
          </w14:textFill>
        </w:rPr>
        <w:t>合考虑乡村居民常用交通方式，</w:t>
      </w:r>
      <w:r>
        <w:rPr>
          <w:color w:val="000000" w:themeColor="text1"/>
          <w:szCs w:val="24"/>
          <w:highlight w:val="none"/>
          <w14:textFill>
            <w14:solidFill>
              <w14:schemeClr w14:val="tx1"/>
            </w14:solidFill>
          </w14:textFill>
        </w:rPr>
        <w:t>按照10分钟电动车可达的空间尺度，</w:t>
      </w:r>
      <w:r>
        <w:rPr>
          <w:rFonts w:hint="eastAsia"/>
          <w:color w:val="000000" w:themeColor="text1"/>
          <w:szCs w:val="24"/>
          <w:highlight w:val="none"/>
          <w14:textFill>
            <w14:solidFill>
              <w14:schemeClr w14:val="tx1"/>
            </w14:solidFill>
          </w14:textFill>
        </w:rPr>
        <w:t>配置满足就近日常使用需求的服务要素，</w:t>
      </w:r>
      <w:r>
        <w:rPr>
          <w:color w:val="000000" w:themeColor="text1"/>
          <w:szCs w:val="24"/>
          <w:highlight w:val="none"/>
          <w14:textFill>
            <w14:solidFill>
              <w14:schemeClr w14:val="tx1"/>
            </w14:solidFill>
          </w14:textFill>
        </w:rPr>
        <w:t>并注重相邻村庄之间服务要</w:t>
      </w:r>
      <w:r>
        <w:rPr>
          <w:rFonts w:hint="eastAsia"/>
          <w:color w:val="000000" w:themeColor="text1"/>
          <w:szCs w:val="24"/>
          <w:highlight w:val="none"/>
          <w14:textFill>
            <w14:solidFill>
              <w14:schemeClr w14:val="tx1"/>
            </w14:solidFill>
          </w14:textFill>
        </w:rPr>
        <w:t>素的错位配置和共享使用。</w:t>
      </w:r>
    </w:p>
    <w:p>
      <w:pPr>
        <w:pStyle w:val="6"/>
        <w:rPr>
          <w:b w:val="0"/>
          <w:bCs w:val="0"/>
          <w:highlight w:val="none"/>
        </w:rPr>
      </w:pPr>
      <w:bookmarkStart w:id="174" w:name="_Toc7783"/>
      <w:bookmarkStart w:id="175" w:name="_Toc21987"/>
      <w:bookmarkStart w:id="176" w:name="_Toc31088"/>
      <w:bookmarkStart w:id="177" w:name="_Toc9773"/>
      <w:bookmarkStart w:id="178" w:name="_Toc1940"/>
      <w:r>
        <w:rPr>
          <w:rFonts w:hint="eastAsia"/>
          <w:b w:val="0"/>
          <w:bCs w:val="0"/>
          <w:highlight w:val="none"/>
        </w:rPr>
        <w:t>构建开放共享的城乡生活圈</w:t>
      </w:r>
      <w:bookmarkEnd w:id="174"/>
      <w:bookmarkEnd w:id="175"/>
      <w:bookmarkEnd w:id="176"/>
      <w:bookmarkEnd w:id="177"/>
      <w:bookmarkEnd w:id="178"/>
    </w:p>
    <w:p>
      <w:pPr>
        <w:rPr>
          <w:highlight w:val="none"/>
        </w:rPr>
      </w:pPr>
      <w:r>
        <w:rPr>
          <w:rFonts w:hint="eastAsia"/>
          <w:highlight w:val="none"/>
        </w:rPr>
        <w:t>落实“乡村社区生活圈”理念，按照“乡集镇-村/组”两个社区生活圈层级，统筹完善镇域公共服务设施，参照《社区生活圈规划技术指南》配置。完善十五分钟社区生活圈，针对人口老龄化趋势和社区功能复合化需求，重点提出医疗、康养、教育、文体、商业等服务设施配置标准和布局要求，以社区生活圈为单元补齐公共服务短板。</w:t>
      </w:r>
    </w:p>
    <w:p>
      <w:pPr>
        <w:rPr>
          <w:rFonts w:cs="Times New Roman"/>
          <w:color w:val="000000" w:themeColor="text1"/>
          <w:szCs w:val="24"/>
          <w:highlight w:val="none"/>
          <w14:textFill>
            <w14:solidFill>
              <w14:schemeClr w14:val="tx1"/>
            </w14:solidFill>
          </w14:textFill>
        </w:rPr>
      </w:pPr>
      <w:bookmarkStart w:id="179" w:name="_Toc20652"/>
      <w:bookmarkStart w:id="180" w:name="_Toc11919"/>
      <w:bookmarkStart w:id="181" w:name="_Toc22659"/>
      <w:r>
        <w:rPr>
          <w:rFonts w:hint="eastAsia" w:cs="Times New Roman"/>
          <w:color w:val="000000" w:themeColor="text1"/>
          <w:szCs w:val="24"/>
          <w:highlight w:val="none"/>
          <w14:textFill>
            <w14:solidFill>
              <w14:schemeClr w14:val="tx1"/>
            </w14:solidFill>
          </w14:textFill>
        </w:rPr>
        <w:t>城镇社区生活圈及。按照步行</w:t>
      </w:r>
      <w:r>
        <w:rPr>
          <w:rFonts w:cs="Times New Roman"/>
          <w:color w:val="000000" w:themeColor="text1"/>
          <w:szCs w:val="24"/>
          <w:highlight w:val="none"/>
          <w14:textFill>
            <w14:solidFill>
              <w14:schemeClr w14:val="tx1"/>
            </w14:solidFill>
          </w14:textFill>
        </w:rPr>
        <w:t>15分钟可达的空间尺度，结合居民生活出行特点和实际需要确定范围，配置面向全体城镇居民、内容丰富、规模适宜的各类服务设施，满足全年龄段不同人群需求的公共服务保障。在5</w:t>
      </w:r>
      <w:r>
        <w:rPr>
          <w:rFonts w:hint="eastAsia" w:ascii="仿宋_GB2312" w:cs="Times New Roman"/>
          <w:color w:val="000000" w:themeColor="text1"/>
          <w:szCs w:val="24"/>
          <w:highlight w:val="none"/>
          <w14:textFill>
            <w14:solidFill>
              <w14:schemeClr w14:val="tx1"/>
            </w14:solidFill>
          </w14:textFill>
        </w:rPr>
        <w:t>-</w:t>
      </w:r>
      <w:r>
        <w:rPr>
          <w:rFonts w:cs="Times New Roman"/>
          <w:color w:val="000000" w:themeColor="text1"/>
          <w:szCs w:val="24"/>
          <w:highlight w:val="none"/>
          <w14:textFill>
            <w14:solidFill>
              <w14:schemeClr w14:val="tx1"/>
            </w14:solidFill>
          </w14:textFill>
        </w:rPr>
        <w:t>10分钟步行可达的空间尺度内，配置城镇居民日常使用，特别是社区适老型和儿童友好型的基本服务要素。</w:t>
      </w:r>
    </w:p>
    <w:p>
      <w:pPr>
        <w:rPr>
          <w:rFonts w:cs="Times New Roman"/>
          <w:color w:val="000000" w:themeColor="text1"/>
          <w:szCs w:val="24"/>
          <w:highlight w:val="none"/>
          <w14:textFill>
            <w14:solidFill>
              <w14:schemeClr w14:val="tx1"/>
            </w14:solidFill>
          </w14:textFill>
        </w:rPr>
      </w:pPr>
      <w:r>
        <w:rPr>
          <w:rFonts w:hint="eastAsia" w:cs="Times New Roman"/>
          <w:color w:val="000000" w:themeColor="text1"/>
          <w:szCs w:val="24"/>
          <w:highlight w:val="none"/>
          <w14:textFill>
            <w14:solidFill>
              <w14:schemeClr w14:val="tx1"/>
            </w14:solidFill>
          </w14:textFill>
        </w:rPr>
        <w:t>乡村社区生活圈。</w:t>
      </w:r>
      <w:r>
        <w:rPr>
          <w:rFonts w:cs="Times New Roman"/>
          <w:color w:val="000000" w:themeColor="text1"/>
          <w:szCs w:val="24"/>
          <w:highlight w:val="none"/>
          <w14:textFill>
            <w14:solidFill>
              <w14:schemeClr w14:val="tx1"/>
            </w14:solidFill>
          </w14:textFill>
        </w:rPr>
        <w:t>依托行政村集中居民点或自然村组，按照乡村居民常用交通方式的15分钟可达的空间尺度，保障乡村基本公共服务水平，集中配置与日常生活关系密切且便于就近使用需求的公共服务设施，注重</w:t>
      </w:r>
      <w:r>
        <w:rPr>
          <w:rFonts w:hint="eastAsia" w:cs="Times New Roman"/>
          <w:color w:val="000000" w:themeColor="text1"/>
          <w:szCs w:val="24"/>
          <w:highlight w:val="none"/>
          <w14:textFill>
            <w14:solidFill>
              <w14:schemeClr w14:val="tx1"/>
            </w14:solidFill>
          </w14:textFill>
        </w:rPr>
        <w:t>相邻村庄之间服务要素的错位配置与共建共享使用。</w:t>
      </w:r>
    </w:p>
    <w:p>
      <w:pPr>
        <w:pStyle w:val="6"/>
        <w:rPr>
          <w:b w:val="0"/>
          <w:bCs w:val="0"/>
          <w:highlight w:val="none"/>
        </w:rPr>
      </w:pPr>
      <w:bookmarkStart w:id="182" w:name="_Toc781"/>
      <w:r>
        <w:rPr>
          <w:rFonts w:hint="eastAsia"/>
          <w:b w:val="0"/>
          <w:bCs w:val="0"/>
          <w:highlight w:val="none"/>
        </w:rPr>
        <w:t>教育设施配置与空间布局</w:t>
      </w:r>
      <w:bookmarkEnd w:id="179"/>
      <w:bookmarkEnd w:id="180"/>
      <w:bookmarkEnd w:id="181"/>
      <w:bookmarkEnd w:id="182"/>
    </w:p>
    <w:p>
      <w:pPr>
        <w:rPr>
          <w:rFonts w:cs="Times New Roman"/>
          <w:highlight w:val="none"/>
        </w:rPr>
      </w:pPr>
      <w:r>
        <w:rPr>
          <w:rFonts w:hint="eastAsia" w:cs="Times New Roman"/>
          <w:highlight w:val="none"/>
        </w:rPr>
        <w:t>推进基础教育高质量发展。坚持教育优先发展战略，全面优化教育资源布局，努力推动教育公平和质量提升。引导镇区基础教育设施合理布局，加大基础教育用地统筹利用和空间储备。规划撤销现状马头中学，在现状马头小学改扩建成1所九年一贯制学校，即马头镇马头学校，新学校小学部18个班，810座，初中学位9个班，450座。优化石角小学、大席小学附属幼儿园等设施。</w:t>
      </w:r>
      <w:bookmarkStart w:id="183" w:name="_Toc1427"/>
      <w:bookmarkStart w:id="184" w:name="_Toc30061"/>
      <w:bookmarkStart w:id="185" w:name="_Toc7490"/>
    </w:p>
    <w:p>
      <w:pPr>
        <w:pStyle w:val="6"/>
        <w:rPr>
          <w:b w:val="0"/>
          <w:bCs w:val="0"/>
          <w:highlight w:val="none"/>
        </w:rPr>
      </w:pPr>
      <w:bookmarkStart w:id="186" w:name="_Toc31351"/>
      <w:r>
        <w:rPr>
          <w:rFonts w:hint="eastAsia"/>
          <w:b w:val="0"/>
          <w:bCs w:val="0"/>
          <w:highlight w:val="none"/>
        </w:rPr>
        <w:t>医疗卫生设施布局规划</w:t>
      </w:r>
      <w:bookmarkEnd w:id="183"/>
      <w:bookmarkEnd w:id="184"/>
      <w:bookmarkEnd w:id="185"/>
      <w:bookmarkEnd w:id="186"/>
    </w:p>
    <w:p>
      <w:pPr>
        <w:rPr>
          <w:highlight w:val="none"/>
          <w:lang w:bidi="ar"/>
        </w:rPr>
      </w:pPr>
      <w:r>
        <w:rPr>
          <w:rFonts w:hint="eastAsia" w:cs="Times New Roman"/>
          <w:highlight w:val="none"/>
        </w:rPr>
        <w:t>推动优质医疗资源均衡布局，提高社区医疗设施的服务能力和突发公共卫生事件防范能力，建立镇、村（社区）两级医疗设施体系。加强以专业公共卫生服务机构为核心、基层医疗卫生服务机构为基础的公共卫生服务网络，预留重大公共卫生突发事件保障空间</w:t>
      </w:r>
      <w:r>
        <w:rPr>
          <w:highlight w:val="none"/>
          <w:lang w:bidi="ar"/>
        </w:rPr>
        <w:t>。保</w:t>
      </w:r>
      <w:r>
        <w:rPr>
          <w:rFonts w:hint="eastAsia"/>
          <w:highlight w:val="none"/>
          <w:lang w:bidi="ar"/>
        </w:rPr>
        <w:t>留现有马头中心卫生院和各村卫生站，持续加强</w:t>
      </w:r>
      <w:r>
        <w:rPr>
          <w:rFonts w:hint="eastAsia" w:cs="Times New Roman"/>
          <w:highlight w:val="none"/>
          <w:lang w:bidi="ar"/>
        </w:rPr>
        <w:t>村/组层级卫生</w:t>
      </w:r>
      <w:r>
        <w:rPr>
          <w:rFonts w:hint="eastAsia"/>
          <w:highlight w:val="none"/>
          <w:lang w:bidi="ar"/>
        </w:rPr>
        <w:t>设施建设，有序增加医疗卫生用地供给。</w:t>
      </w:r>
    </w:p>
    <w:p>
      <w:pPr>
        <w:pStyle w:val="6"/>
        <w:rPr>
          <w:b w:val="0"/>
          <w:bCs w:val="0"/>
          <w:highlight w:val="none"/>
        </w:rPr>
      </w:pPr>
      <w:bookmarkStart w:id="187" w:name="_Toc5694"/>
      <w:bookmarkStart w:id="188" w:name="_Toc29822"/>
      <w:bookmarkStart w:id="189" w:name="_Toc623"/>
      <w:bookmarkStart w:id="190" w:name="_Toc14632"/>
      <w:r>
        <w:rPr>
          <w:rFonts w:hint="eastAsia"/>
          <w:b w:val="0"/>
          <w:bCs w:val="0"/>
          <w:highlight w:val="none"/>
        </w:rPr>
        <w:t>文体设施布局规划</w:t>
      </w:r>
      <w:bookmarkEnd w:id="187"/>
      <w:bookmarkEnd w:id="188"/>
      <w:bookmarkEnd w:id="189"/>
      <w:bookmarkEnd w:id="190"/>
    </w:p>
    <w:p>
      <w:pPr>
        <w:rPr>
          <w:highlight w:val="none"/>
        </w:rPr>
      </w:pPr>
      <w:r>
        <w:rPr>
          <w:rFonts w:hint="eastAsia"/>
          <w:color w:val="000000" w:themeColor="text1"/>
          <w:szCs w:val="24"/>
          <w:highlight w:val="none"/>
          <w14:textFill>
            <w14:solidFill>
              <w14:schemeClr w14:val="tx1"/>
            </w14:solidFill>
          </w14:textFill>
        </w:rPr>
        <w:t>将全民健身设施向行政村延伸，建设更合理、使用更便民、管理更高效的健身设施网络。合理利用社区公园、街角公园建设全民健身设施，完善社区级设施配套。鼓励城市社区和农村通过改造旧厂房、仓库、老旧商业设施、闲置废弃地、临时用地等空置场所，配套建设全民健身设施。</w:t>
      </w:r>
      <w:r>
        <w:rPr>
          <w:rFonts w:hint="eastAsia"/>
          <w:highlight w:val="none"/>
        </w:rPr>
        <w:t>优化文化活动站和文化活动中心布局，按照“五个有”文化设施建设标准提档升级，完善村级文化活动中心和自助图书室建设。</w:t>
      </w:r>
    </w:p>
    <w:p>
      <w:pPr>
        <w:pStyle w:val="6"/>
        <w:rPr>
          <w:b w:val="0"/>
          <w:bCs w:val="0"/>
          <w:highlight w:val="none"/>
        </w:rPr>
      </w:pPr>
      <w:bookmarkStart w:id="191" w:name="_Toc24198"/>
      <w:bookmarkStart w:id="192" w:name="_Toc10554"/>
      <w:bookmarkStart w:id="193" w:name="_Toc9369"/>
      <w:bookmarkStart w:id="194" w:name="_Toc9977"/>
      <w:r>
        <w:rPr>
          <w:rFonts w:hint="eastAsia"/>
          <w:b w:val="0"/>
          <w:bCs w:val="0"/>
          <w:highlight w:val="none"/>
        </w:rPr>
        <w:t>社会福利设施布局规划</w:t>
      </w:r>
      <w:bookmarkEnd w:id="191"/>
      <w:bookmarkEnd w:id="192"/>
      <w:bookmarkEnd w:id="193"/>
      <w:bookmarkEnd w:id="194"/>
    </w:p>
    <w:p>
      <w:pPr>
        <w:rPr>
          <w:highlight w:val="none"/>
        </w:rPr>
      </w:pPr>
      <w:r>
        <w:rPr>
          <w:rFonts w:hint="eastAsia"/>
          <w:highlight w:val="none"/>
        </w:rPr>
        <w:t>积极应对老龄化趋势，结合马头镇综合养老服务中心发展居家养老服务，设置长者饭堂、棋牌室、阅览室曲艺室等，提供老年人助餐配餐、精神慰藉、文化娱乐等服务。</w:t>
      </w:r>
      <w:r>
        <w:rPr>
          <w:rFonts w:hint="eastAsia"/>
          <w:color w:val="000000" w:themeColor="text1"/>
          <w:szCs w:val="24"/>
          <w:highlight w:val="none"/>
          <w14:textFill>
            <w14:solidFill>
              <w14:schemeClr w14:val="tx1"/>
            </w14:solidFill>
          </w14:textFill>
        </w:rPr>
        <w:t>加快</w:t>
      </w:r>
      <w:r>
        <w:rPr>
          <w:color w:val="000000" w:themeColor="text1"/>
          <w:szCs w:val="24"/>
          <w:highlight w:val="none"/>
          <w14:textFill>
            <w14:solidFill>
              <w14:schemeClr w14:val="tx1"/>
            </w14:solidFill>
          </w14:textFill>
        </w:rPr>
        <w:t>实现社会关怀区域全覆盖，</w:t>
      </w:r>
      <w:r>
        <w:rPr>
          <w:rFonts w:hint="eastAsia"/>
          <w:color w:val="000000" w:themeColor="text1"/>
          <w:szCs w:val="24"/>
          <w:highlight w:val="none"/>
          <w14:textFill>
            <w14:solidFill>
              <w14:schemeClr w14:val="tx1"/>
            </w14:solidFill>
          </w14:textFill>
        </w:rPr>
        <w:t>加强“一老一小”</w:t>
      </w:r>
      <w:r>
        <w:rPr>
          <w:color w:val="000000" w:themeColor="text1"/>
          <w:szCs w:val="24"/>
          <w:highlight w:val="none"/>
          <w14:textFill>
            <w14:solidFill>
              <w14:schemeClr w14:val="tx1"/>
            </w14:solidFill>
          </w14:textFill>
        </w:rPr>
        <w:t>托育照护服务体系建设。</w:t>
      </w:r>
    </w:p>
    <w:p>
      <w:pPr>
        <w:pStyle w:val="6"/>
        <w:keepNext/>
        <w:keepLines/>
        <w:jc w:val="both"/>
        <w:rPr>
          <w:b w:val="0"/>
          <w:bCs w:val="0"/>
          <w:highlight w:val="none"/>
        </w:rPr>
      </w:pPr>
      <w:bookmarkStart w:id="195" w:name="_Toc21961"/>
      <w:r>
        <w:rPr>
          <w:rFonts w:hint="eastAsia"/>
          <w:b w:val="0"/>
          <w:bCs w:val="0"/>
          <w:highlight w:val="none"/>
        </w:rPr>
        <w:t>殡葬设施布局规划</w:t>
      </w:r>
      <w:bookmarkEnd w:id="195"/>
    </w:p>
    <w:p>
      <w:pPr>
        <w:widowControl/>
        <w:numPr>
          <w:ilvl w:val="255"/>
          <w:numId w:val="0"/>
        </w:numPr>
        <w:tabs>
          <w:tab w:val="left" w:pos="720"/>
        </w:tabs>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推进殡葬设施建设，结合镇村实际需求，完善骨灰堂、殡仪服务站、农村公益性公墓等设施，实现遗体安葬集中化、公墓化、规范化。</w:t>
      </w:r>
    </w:p>
    <w:p>
      <w:pPr>
        <w:pStyle w:val="5"/>
        <w:spacing w:before="156" w:beforeLines="50" w:after="156" w:afterLines="50"/>
        <w:rPr>
          <w:highlight w:val="none"/>
        </w:rPr>
      </w:pPr>
      <w:bookmarkStart w:id="196" w:name="_Toc16068"/>
      <w:bookmarkStart w:id="197" w:name="_Toc18284"/>
      <w:bookmarkStart w:id="198" w:name="_Toc542"/>
      <w:bookmarkStart w:id="199" w:name="_Toc17720"/>
      <w:bookmarkStart w:id="200" w:name="_Toc9352"/>
      <w:r>
        <w:rPr>
          <w:rFonts w:hint="eastAsia"/>
          <w:highlight w:val="none"/>
        </w:rPr>
        <w:t>蓝绿开敞空间</w:t>
      </w:r>
      <w:bookmarkEnd w:id="196"/>
    </w:p>
    <w:p>
      <w:pPr>
        <w:pStyle w:val="6"/>
        <w:rPr>
          <w:b w:val="0"/>
          <w:bCs w:val="0"/>
          <w:highlight w:val="none"/>
        </w:rPr>
      </w:pPr>
      <w:bookmarkStart w:id="201" w:name="_Toc18690"/>
      <w:r>
        <w:rPr>
          <w:rFonts w:hint="eastAsia"/>
          <w:b w:val="0"/>
          <w:bCs w:val="0"/>
          <w:highlight w:val="none"/>
        </w:rPr>
        <w:t>优化绿地系统布局</w:t>
      </w:r>
      <w:bookmarkEnd w:id="201"/>
    </w:p>
    <w:p>
      <w:pPr>
        <w:tabs>
          <w:tab w:val="left" w:pos="720"/>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落实上位国土空间总体规划提出的公园绿地布局要求，构建“综合公园-片区公园-街头绿地”的三级公园绿地系统。加强邻近城区的郊野公园、公园绿地、带状绿地、绿廊、街头绿地等的建设，通过边角地整理等方式，增加社区公园、街头绿地规模，营造公园绿楔点缀的公共空间。</w:t>
      </w:r>
    </w:p>
    <w:p>
      <w:pPr>
        <w:tabs>
          <w:tab w:val="left" w:pos="720"/>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地制宜建设口袋公园，建设整合镇域公园绿地、防护绿地、小广场等休憩绿地空间，因地制宜，增绿补绿，通过建设滨水绿道及沿途休憩空间，按照居民生活圈要求完善公园设施，实现公园绿地、广场步行5分钟覆盖率提升。因地制宜规划建设或改造“口袋公园”。</w:t>
      </w:r>
    </w:p>
    <w:p>
      <w:pPr>
        <w:tabs>
          <w:tab w:val="left" w:pos="720"/>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加强四小园建设。在乡村区域，按照因地制宜的原则，利用村头巷尾、房前屋后、“三清三拆三整治”后的空闲土地，因地制宜打造农村小菜园、小果园、小花园、小公园等“四小园”小生态板块。</w:t>
      </w:r>
    </w:p>
    <w:p>
      <w:pPr>
        <w:tabs>
          <w:tab w:val="left" w:pos="720"/>
        </w:tabs>
        <w:rPr>
          <w:rStyle w:val="58"/>
          <w:highlight w:val="none"/>
        </w:rPr>
      </w:pPr>
      <w:r>
        <w:rPr>
          <w:rFonts w:hint="eastAsia"/>
          <w:color w:val="000000" w:themeColor="text1"/>
          <w:highlight w:val="none"/>
          <w14:textFill>
            <w14:solidFill>
              <w14:schemeClr w14:val="tx1"/>
            </w14:solidFill>
          </w14:textFill>
        </w:rPr>
        <w:t>同时在工业用地、道路等对环境有潜在污染影响的地区周边栽种绿植，</w:t>
      </w:r>
      <w:r>
        <w:rPr>
          <w:rStyle w:val="58"/>
          <w:highlight w:val="none"/>
        </w:rPr>
        <w:t>优先选择冠大荫浓、吸尘降噪能力强、养护成本低、景观效果好的乡土树种，建设节约型园林</w:t>
      </w:r>
      <w:r>
        <w:rPr>
          <w:rStyle w:val="58"/>
          <w:rFonts w:hint="eastAsia"/>
          <w:highlight w:val="none"/>
        </w:rPr>
        <w:t>，</w:t>
      </w:r>
      <w:r>
        <w:rPr>
          <w:rStyle w:val="58"/>
          <w:highlight w:val="none"/>
        </w:rPr>
        <w:t>打造人在林荫走、车在林荫行的绿色生活场景。</w:t>
      </w:r>
    </w:p>
    <w:p>
      <w:pPr>
        <w:pStyle w:val="6"/>
        <w:rPr>
          <w:b w:val="0"/>
          <w:bCs w:val="0"/>
          <w:highlight w:val="none"/>
        </w:rPr>
      </w:pPr>
      <w:bookmarkStart w:id="202" w:name="_Toc10855"/>
      <w:r>
        <w:rPr>
          <w:rFonts w:hint="eastAsia"/>
          <w:b w:val="0"/>
          <w:bCs w:val="0"/>
          <w:highlight w:val="none"/>
        </w:rPr>
        <w:t>打造滨江亲水空间</w:t>
      </w:r>
      <w:bookmarkEnd w:id="202"/>
    </w:p>
    <w:p>
      <w:pPr>
        <w:rPr>
          <w:highlight w:val="none"/>
        </w:rPr>
      </w:pPr>
      <w:r>
        <w:rPr>
          <w:rFonts w:hint="eastAsia"/>
          <w:highlight w:val="none"/>
        </w:rPr>
        <w:t>尊重马头镇的自然山水格局，统筹蓝绿生态资源保护、利用与修复，突出新丰江及羌坑河良好生态景观要素，结合新丰江、羌坑河等水域，加强对新丰江滨水地区的绿化景观设计，丰富滨江休闲空间与亲水活动空间，增强景观丰富度，提高沿岸地段的可达性、亲水性。将滨江碧道、公园绿地、景观节点等要素有机结合，并与周边山林地、水域等联系起来，使之渗透到镇区内。</w:t>
      </w:r>
    </w:p>
    <w:p>
      <w:pPr>
        <w:pStyle w:val="6"/>
        <w:rPr>
          <w:b w:val="0"/>
          <w:bCs w:val="0"/>
          <w:highlight w:val="none"/>
        </w:rPr>
      </w:pPr>
      <w:bookmarkStart w:id="203" w:name="_Toc22218"/>
      <w:r>
        <w:rPr>
          <w:rFonts w:hint="eastAsia"/>
          <w:b w:val="0"/>
          <w:bCs w:val="0"/>
          <w:highlight w:val="none"/>
        </w:rPr>
        <w:t>构建绿美建设空间</w:t>
      </w:r>
      <w:bookmarkEnd w:id="203"/>
    </w:p>
    <w:p>
      <w:pPr>
        <w:tabs>
          <w:tab w:val="left" w:pos="0"/>
          <w:tab w:val="center" w:pos="4213"/>
          <w:tab w:val="left" w:pos="6298"/>
        </w:tabs>
        <w:rPr>
          <w:highlight w:val="none"/>
        </w:rPr>
      </w:pPr>
      <w:r>
        <w:rPr>
          <w:rFonts w:hint="eastAsia"/>
          <w:highlight w:val="none"/>
        </w:rPr>
        <w:t>牢固树立和践行绿水青山就是金山银山的理念，深入推进绿美广东生态建设。马头镇需依托沿新丰江、羌坑河、大席河、石角河流域及沿镇域主要公路两侧绿化林带等，全面打造生态廊道，推进优化绿道、碧道、古驿道等建设，持续提升带状生态空间绿化美化水平，营造“城在林中、路在绿中、房在园中、人在景中”的绿美城乡人居环境。</w:t>
      </w:r>
      <w:r>
        <w:rPr>
          <w:rFonts w:hint="eastAsia" w:cs="Times New Roman"/>
          <w:color w:val="000000" w:themeColor="text1"/>
          <w:szCs w:val="24"/>
          <w:highlight w:val="none"/>
          <w14:textFill>
            <w14:solidFill>
              <w14:schemeClr w14:val="tx1"/>
            </w14:solidFill>
          </w14:textFill>
        </w:rPr>
        <w:t>全面开放公园、广场、绿道及各类附属绿地草坪区，不使用围挡、禁止性标识牌等人为设施阻止群众进入绿地，并以文明提示语等柔性方式引导群众在游憩活动的同时注意保护绿地草坪。</w:t>
      </w:r>
    </w:p>
    <w:p>
      <w:pPr>
        <w:pStyle w:val="5"/>
        <w:spacing w:before="156" w:beforeLines="50" w:after="156" w:afterLines="50"/>
        <w:rPr>
          <w:highlight w:val="none"/>
        </w:rPr>
      </w:pPr>
      <w:bookmarkStart w:id="204" w:name="_Toc11549"/>
      <w:r>
        <w:rPr>
          <w:rFonts w:hint="eastAsia"/>
          <w:highlight w:val="none"/>
        </w:rPr>
        <w:t>产业发展</w:t>
      </w:r>
      <w:bookmarkEnd w:id="197"/>
      <w:bookmarkEnd w:id="198"/>
      <w:bookmarkEnd w:id="199"/>
      <w:bookmarkEnd w:id="200"/>
      <w:bookmarkEnd w:id="204"/>
    </w:p>
    <w:p>
      <w:pPr>
        <w:pStyle w:val="6"/>
        <w:rPr>
          <w:b w:val="0"/>
          <w:bCs w:val="0"/>
          <w:highlight w:val="none"/>
        </w:rPr>
      </w:pPr>
      <w:bookmarkStart w:id="205" w:name="_Toc28704"/>
      <w:bookmarkStart w:id="206" w:name="_Toc3302"/>
      <w:bookmarkStart w:id="207" w:name="_Toc6517"/>
      <w:bookmarkStart w:id="208" w:name="_Toc4625"/>
      <w:bookmarkStart w:id="209" w:name="_Toc283"/>
      <w:r>
        <w:rPr>
          <w:rFonts w:hint="eastAsia"/>
          <w:b w:val="0"/>
          <w:bCs w:val="0"/>
          <w:highlight w:val="none"/>
        </w:rPr>
        <w:t>产业目标定位</w:t>
      </w:r>
      <w:bookmarkEnd w:id="205"/>
    </w:p>
    <w:p>
      <w:pPr>
        <w:rPr>
          <w:highlight w:val="none"/>
        </w:rPr>
      </w:pPr>
      <w:r>
        <w:rPr>
          <w:rFonts w:hint="eastAsia"/>
          <w:highlight w:val="none"/>
        </w:rPr>
        <w:t>落实新丰县对马头镇产业发展方向要求，助力新丰县构建以新型环保材料、新型环保建材、新能源材料、高端装备制造、绿色食品产业为重点的绿色工业体系。加快新型工业化，马头园主导产业化工</w:t>
      </w:r>
      <w:r>
        <w:rPr>
          <w:highlight w:val="none"/>
        </w:rPr>
        <w:t>、</w:t>
      </w:r>
      <w:r>
        <w:rPr>
          <w:rFonts w:hint="eastAsia"/>
          <w:highlight w:val="none"/>
        </w:rPr>
        <w:t>环保涂料</w:t>
      </w:r>
      <w:r>
        <w:rPr>
          <w:highlight w:val="none"/>
        </w:rPr>
        <w:t>等为主导</w:t>
      </w:r>
      <w:r>
        <w:rPr>
          <w:rFonts w:hint="eastAsia"/>
          <w:highlight w:val="none"/>
        </w:rPr>
        <w:t>，打造循环经济产业园，建设成为新丰县东部工业增长极。</w:t>
      </w:r>
    </w:p>
    <w:p>
      <w:pPr>
        <w:pStyle w:val="6"/>
        <w:rPr>
          <w:b w:val="0"/>
          <w:bCs w:val="0"/>
          <w:highlight w:val="none"/>
        </w:rPr>
      </w:pPr>
      <w:bookmarkStart w:id="210" w:name="_Toc3022"/>
      <w:r>
        <w:rPr>
          <w:rFonts w:hint="eastAsia"/>
          <w:b w:val="0"/>
          <w:bCs w:val="0"/>
          <w:highlight w:val="none"/>
        </w:rPr>
        <w:t>产业发展策略</w:t>
      </w:r>
      <w:bookmarkEnd w:id="206"/>
      <w:bookmarkEnd w:id="207"/>
      <w:bookmarkEnd w:id="208"/>
      <w:bookmarkEnd w:id="209"/>
      <w:bookmarkEnd w:id="210"/>
    </w:p>
    <w:p>
      <w:pPr>
        <w:rPr>
          <w:highlight w:val="none"/>
        </w:rPr>
      </w:pPr>
      <w:r>
        <w:rPr>
          <w:rFonts w:hint="eastAsia"/>
          <w:highlight w:val="none"/>
        </w:rPr>
        <w:t>产业联动、绿色发展：围绕打造“新丰县产业示范基地”目标，发展以化工、新能源和环保涂料为主导的循环经济产业，促进产业转型升级。构建韶能集团与马头工业园共建新模式，大力推动韶能生物质和绿洲生态植物纤维项目建设，将马头循环经济产业园打造为省级循环经济示范园。</w:t>
      </w:r>
    </w:p>
    <w:p>
      <w:pPr>
        <w:rPr>
          <w:highlight w:val="none"/>
        </w:rPr>
      </w:pPr>
      <w:r>
        <w:rPr>
          <w:rFonts w:hint="eastAsia"/>
          <w:highlight w:val="none"/>
        </w:rPr>
        <w:t>产业融合，提质增效：推进农村一二三产业融合发展，着重培育农村新产业新业态，促进农产品精深加工和电商物流融合发展，保障农科集团新丰功能农业产业园、新丰县蔬菜产业园、</w:t>
      </w:r>
      <w:bookmarkStart w:id="211" w:name="_Hlk145453585"/>
      <w:r>
        <w:rPr>
          <w:rFonts w:hint="eastAsia"/>
          <w:highlight w:val="none"/>
        </w:rPr>
        <w:t>新丰县优质农产品营销平台</w:t>
      </w:r>
      <w:bookmarkEnd w:id="211"/>
      <w:r>
        <w:rPr>
          <w:rFonts w:hint="eastAsia"/>
          <w:highlight w:val="none"/>
        </w:rPr>
        <w:t>等农业发展新载体空间需求，发展特色农林产品加工、食品加工产业、农旅休闲产业，完善农产品电商物流体系，着力推进三产融合发展。</w:t>
      </w:r>
    </w:p>
    <w:p>
      <w:pPr>
        <w:pStyle w:val="6"/>
        <w:rPr>
          <w:b w:val="0"/>
          <w:bCs w:val="0"/>
          <w:highlight w:val="none"/>
        </w:rPr>
      </w:pPr>
      <w:bookmarkStart w:id="212" w:name="_Toc6212"/>
      <w:bookmarkStart w:id="213" w:name="_Toc9874"/>
      <w:bookmarkStart w:id="214" w:name="_Toc31470"/>
      <w:bookmarkStart w:id="215" w:name="_Toc8141"/>
      <w:bookmarkStart w:id="216" w:name="_Toc22556"/>
      <w:r>
        <w:rPr>
          <w:rFonts w:hint="eastAsia"/>
          <w:b w:val="0"/>
          <w:bCs w:val="0"/>
          <w:highlight w:val="none"/>
        </w:rPr>
        <w:t>产业空间布局</w:t>
      </w:r>
      <w:bookmarkEnd w:id="212"/>
      <w:bookmarkEnd w:id="213"/>
      <w:bookmarkEnd w:id="214"/>
      <w:bookmarkEnd w:id="215"/>
      <w:bookmarkEnd w:id="216"/>
    </w:p>
    <w:p>
      <w:pPr>
        <w:rPr>
          <w:highlight w:val="none"/>
        </w:rPr>
      </w:pPr>
      <w:r>
        <w:rPr>
          <w:rFonts w:hint="eastAsia"/>
          <w:highlight w:val="none"/>
        </w:rPr>
        <w:t>根据现有产业基础、资源环境禀赋、区域产业定位，规划构建马头镇：“一园一带三区”产业空间布局。</w:t>
      </w:r>
    </w:p>
    <w:p>
      <w:pPr>
        <w:rPr>
          <w:highlight w:val="none"/>
        </w:rPr>
      </w:pPr>
      <w:r>
        <w:rPr>
          <w:rFonts w:hint="eastAsia"/>
          <w:highlight w:val="none"/>
        </w:rPr>
        <w:t>一园：马头工业园。围绕打造“新丰县产业示范基地”目标，加快推进循环经济产业园建设，重点发展新能源、环保餐具制造、环保涂料等。</w:t>
      </w:r>
    </w:p>
    <w:p>
      <w:pPr>
        <w:rPr>
          <w:highlight w:val="none"/>
        </w:rPr>
      </w:pPr>
      <w:r>
        <w:rPr>
          <w:rFonts w:hint="eastAsia"/>
          <w:highlight w:val="none"/>
        </w:rPr>
        <w:t>一带：“芳华水韵”环马线乡村振兴示范带。以“绿色崛起”为主题，大力发展农业生产相结合的生态观光旅游模式，着力打造“芳华水韵”环马线乡村振兴示范带，串联各村庄产业发展。以新丰江沿江地带为核心区，以省道259为南沿线，以县道850、省道341为东沿线，向外串联各村发展。</w:t>
      </w:r>
    </w:p>
    <w:p>
      <w:pPr>
        <w:rPr>
          <w:highlight w:val="none"/>
        </w:rPr>
      </w:pPr>
      <w:r>
        <w:rPr>
          <w:rFonts w:hint="eastAsia"/>
          <w:highlight w:val="none"/>
        </w:rPr>
        <w:t>三区：农文旅产业融合区、特色农业产业区、休闲农业体验区。</w:t>
      </w:r>
    </w:p>
    <w:p>
      <w:pPr>
        <w:rPr>
          <w:highlight w:val="none"/>
        </w:rPr>
      </w:pPr>
      <w:r>
        <w:rPr>
          <w:rFonts w:hint="eastAsia"/>
          <w:highlight w:val="none"/>
        </w:rPr>
        <w:t>特色农业产业区：重点挖掘层坑村蔬菜、秀田村蔬菜、军二村鹰嘴桃、</w:t>
      </w:r>
      <w:r>
        <w:rPr>
          <w:rFonts w:hint="eastAsia"/>
          <w:highlight w:val="none"/>
          <w:lang w:eastAsia="zh-CN"/>
        </w:rPr>
        <w:t>姜坑</w:t>
      </w:r>
      <w:r>
        <w:rPr>
          <w:rFonts w:hint="eastAsia"/>
          <w:highlight w:val="none"/>
        </w:rPr>
        <w:t>村砂糖桔、水背村红薯、潭石村百香果、湾田村胡须鸡，加大对龙头企业、农民专业合作社、家庭农场等农业经营主体的扶持，助力新丰县万鸿农产品开发有限公司、城丰蔬菜贸易有限公司等龙头企业发展壮大，发展农副产品加工服务产业，完善农产品电商物流体系。</w:t>
      </w:r>
    </w:p>
    <w:p>
      <w:pPr>
        <w:rPr>
          <w:highlight w:val="none"/>
        </w:rPr>
      </w:pPr>
      <w:r>
        <w:rPr>
          <w:rFonts w:hint="eastAsia"/>
          <w:highlight w:val="none"/>
        </w:rPr>
        <w:t>休闲农业体验区：以山水体验，生态休闲旅游为拓展模式，依托八仙顶森林康养地、军屯红色基因教育基地、“仰红堂”、九栋十八井、秀田古树公园等旅游景点，加强与现状农业发展相结合，以农业带动休闲旅游产业蓬勃发展，将沿途休闲观光与农业体验相融合。</w:t>
      </w:r>
    </w:p>
    <w:p>
      <w:pPr>
        <w:rPr>
          <w:highlight w:val="none"/>
        </w:rPr>
      </w:pPr>
      <w:r>
        <w:rPr>
          <w:rFonts w:hint="eastAsia"/>
          <w:highlight w:val="none"/>
        </w:rPr>
        <w:t>农文旅产业融合区：整合马头镇的文化资源，以文化资源为线索，以马头石角山泉水高密度养鱼业、石角豆腐、文义村花卉观光体验为支撑，结合桐木山旅游度假区，发展度假民宿等，，将沿途旅游文化与农业体验相融合，打造农文旅产业融合区。</w:t>
      </w:r>
    </w:p>
    <w:p>
      <w:pPr>
        <w:pStyle w:val="6"/>
        <w:rPr>
          <w:b w:val="0"/>
          <w:bCs w:val="0"/>
          <w:highlight w:val="none"/>
        </w:rPr>
      </w:pPr>
      <w:bookmarkStart w:id="217" w:name="_Toc30989"/>
      <w:r>
        <w:rPr>
          <w:rFonts w:hint="eastAsia"/>
          <w:b w:val="0"/>
          <w:bCs w:val="0"/>
          <w:highlight w:val="none"/>
        </w:rPr>
        <w:t>工业用地控制线</w:t>
      </w:r>
      <w:bookmarkEnd w:id="217"/>
    </w:p>
    <w:p>
      <w:pPr>
        <w:rPr>
          <w:highlight w:val="none"/>
          <w:u w:val="single"/>
        </w:rPr>
      </w:pPr>
      <w:r>
        <w:rPr>
          <w:rFonts w:hint="eastAsia"/>
          <w:highlight w:val="none"/>
        </w:rPr>
        <w:t>落实上级规划下达的工业用地控制任务，</w:t>
      </w:r>
      <w:r>
        <w:rPr>
          <w:rFonts w:hint="eastAsia"/>
          <w:highlight w:val="none"/>
          <w:u w:val="none"/>
        </w:rPr>
        <w:t>工业用地控制线</w:t>
      </w:r>
      <w:r>
        <w:rPr>
          <w:rFonts w:hint="eastAsia"/>
          <w:highlight w:val="none"/>
        </w:rPr>
        <w:t>均为一级控制线。</w:t>
      </w:r>
    </w:p>
    <w:p>
      <w:pPr>
        <w:rPr>
          <w:highlight w:val="none"/>
        </w:rPr>
      </w:pPr>
      <w:bookmarkStart w:id="218" w:name="_Hlk145948598"/>
      <w:r>
        <w:rPr>
          <w:rFonts w:hint="eastAsia"/>
          <w:highlight w:val="none"/>
        </w:rPr>
        <w:t>一级控制线管控要求：①规划工业用地总量应当确保工业发展规划的需要，工业用地控制线内工业仓储用地占控制线比例原则上应不低于60%。②控制线内的工业用地实行严格保护，除必要的公共管理与公共服务用地、市政和交通设施用地、绿地与开敞空间用地、人才住房和保障性住房用地外，不得调整为其他非工业用途。③控制线内工业用地实行总量控制，动态维护的机制，在保障工业用地总量不减少的前提下，可对控制线及线内工业用地具体布局和边界进行调整优化</w:t>
      </w:r>
      <w:bookmarkEnd w:id="218"/>
      <w:r>
        <w:rPr>
          <w:rFonts w:hint="eastAsia"/>
          <w:highlight w:val="none"/>
        </w:rPr>
        <w:t>。</w:t>
      </w:r>
    </w:p>
    <w:p>
      <w:pPr>
        <w:pStyle w:val="5"/>
        <w:spacing w:before="156" w:beforeLines="50" w:after="156" w:afterLines="50"/>
        <w:rPr>
          <w:highlight w:val="none"/>
        </w:rPr>
      </w:pPr>
      <w:bookmarkStart w:id="219" w:name="_Toc5301"/>
      <w:r>
        <w:rPr>
          <w:rFonts w:hint="eastAsia"/>
          <w:highlight w:val="none"/>
        </w:rPr>
        <w:t>乡村振兴与村庄建设</w:t>
      </w:r>
      <w:bookmarkEnd w:id="219"/>
    </w:p>
    <w:p>
      <w:pPr>
        <w:pStyle w:val="6"/>
        <w:rPr>
          <w:b w:val="0"/>
          <w:bCs w:val="0"/>
          <w:highlight w:val="none"/>
        </w:rPr>
      </w:pPr>
      <w:bookmarkStart w:id="220" w:name="_Toc11142"/>
      <w:bookmarkStart w:id="221" w:name="_Toc166446030"/>
      <w:r>
        <w:rPr>
          <w:rFonts w:hint="eastAsia"/>
          <w:b w:val="0"/>
          <w:bCs w:val="0"/>
          <w:highlight w:val="none"/>
        </w:rPr>
        <w:t>落实东部疏稻种植先导区</w:t>
      </w:r>
      <w:bookmarkEnd w:id="220"/>
    </w:p>
    <w:p>
      <w:pPr>
        <w:rPr>
          <w:highlight w:val="none"/>
        </w:rPr>
      </w:pPr>
      <w:r>
        <w:rPr>
          <w:rFonts w:hint="eastAsia"/>
          <w:highlight w:val="none"/>
        </w:rPr>
        <w:t>落实上位规划马头镇东部蔬稻种植先导区职能，依托马头镇高标准农田建设和特色历史文化资源，积极推进蔬稻产业深加工产业园建设，主要发展绿色生态的蔬菜-稻米（渔）和农业休闲旅游，为粤港澳大湾区提供优质粮食产品、特色农产品和休闲农产品。</w:t>
      </w:r>
    </w:p>
    <w:p>
      <w:pPr>
        <w:pStyle w:val="6"/>
        <w:rPr>
          <w:b w:val="0"/>
          <w:bCs w:val="0"/>
          <w:highlight w:val="none"/>
        </w:rPr>
      </w:pPr>
      <w:bookmarkStart w:id="222" w:name="_Toc6521"/>
      <w:r>
        <w:rPr>
          <w:rFonts w:hint="eastAsia"/>
          <w:b w:val="0"/>
          <w:bCs w:val="0"/>
          <w:highlight w:val="none"/>
        </w:rPr>
        <w:t>优化村庄建设用地布局</w:t>
      </w:r>
      <w:bookmarkEnd w:id="222"/>
    </w:p>
    <w:p>
      <w:pPr>
        <w:rPr>
          <w:highlight w:val="none"/>
        </w:rPr>
      </w:pPr>
      <w:r>
        <w:rPr>
          <w:rFonts w:hint="eastAsia"/>
          <w:highlight w:val="none"/>
        </w:rPr>
        <w:t>在耕地总量不减少、永久基本农田布局基本稳定的前提下，综合运用增减挂钩和占补平衡政策，稳妥有序开展以乡镇为基本单元的全域土地综合整治，整合盘活农村零散闲置土地，多种方式充分利用、合理腾挪布局乡村存量建设用地规模，优化村庄用地布局，划定村庄建设边界，保障农民建房、民生服务及乡村振兴产业项目建设。</w:t>
      </w:r>
    </w:p>
    <w:p>
      <w:pPr>
        <w:pStyle w:val="6"/>
        <w:rPr>
          <w:b w:val="0"/>
          <w:bCs w:val="0"/>
          <w:highlight w:val="none"/>
        </w:rPr>
      </w:pPr>
      <w:bookmarkStart w:id="223" w:name="_Toc5085"/>
      <w:r>
        <w:rPr>
          <w:rFonts w:hint="eastAsia"/>
          <w:b w:val="0"/>
          <w:bCs w:val="0"/>
          <w:highlight w:val="none"/>
        </w:rPr>
        <w:t>保障乡村振兴用地需求</w:t>
      </w:r>
      <w:bookmarkEnd w:id="221"/>
      <w:bookmarkEnd w:id="223"/>
    </w:p>
    <w:p>
      <w:pPr>
        <w:rPr>
          <w:rFonts w:cs="Times New Roman"/>
          <w:highlight w:val="none"/>
        </w:rPr>
      </w:pPr>
      <w:r>
        <w:rPr>
          <w:rFonts w:hint="eastAsia" w:cs="Times New Roman"/>
          <w:highlight w:val="none"/>
        </w:rPr>
        <w:t>建立健全城乡统一的建设用地市场。加强对乡村振兴建设用地统筹，每年安排不少于</w:t>
      </w:r>
      <w:r>
        <w:rPr>
          <w:rFonts w:cs="Times New Roman"/>
          <w:highlight w:val="none"/>
        </w:rPr>
        <w:t>10%</w:t>
      </w:r>
      <w:r>
        <w:rPr>
          <w:rFonts w:hint="eastAsia" w:cs="Times New Roman"/>
          <w:highlight w:val="none"/>
        </w:rPr>
        <w:t>的新增建设用地计划指标，优先保障农村一二三产业融合发展、助农服务、农民群众急需的生活基础设施和公共服务设施建设等项目。完善土地有偿使用制度，盘活农村建设用地资源，推动农村产业发展，提高农民土地增值收益分享比例，进一步完善设施农用地政策。用好用活城乡建设用地增减挂钩、增存挂钩与拆旧复垦等政策，盘活乡村存量建设用地，优化城乡建设用地布局，统筹城乡融合高质量发展、节约集约利用土地。</w:t>
      </w:r>
    </w:p>
    <w:p>
      <w:pPr>
        <w:rPr>
          <w:rFonts w:cs="Times New Roman"/>
          <w:highlight w:val="none"/>
        </w:rPr>
      </w:pPr>
      <w:r>
        <w:rPr>
          <w:rFonts w:hint="eastAsia" w:cs="Times New Roman"/>
          <w:highlight w:val="none"/>
        </w:rPr>
        <w:t>积极探索乡村点状供地模式。全域统筹城乡建设用地，优先保障点状供地项目建设用地需求，用于零星分散的单独选址农业设施、乡村旅游设施等建设，统筹安排农村公共公益、民生工程、农业生产、农业科研等用地需求。保障现代种养业、农产品加工流通、乡村休闲旅游、乡土特色产业、乡村信息产业及乡村新型服务业等乡村产业项目及其配套基础设施、公共服务设施用地需求。</w:t>
      </w:r>
    </w:p>
    <w:p>
      <w:pPr>
        <w:pStyle w:val="6"/>
        <w:rPr>
          <w:b w:val="0"/>
          <w:bCs w:val="0"/>
          <w:highlight w:val="none"/>
        </w:rPr>
      </w:pPr>
      <w:bookmarkStart w:id="224" w:name="_Toc145924739"/>
      <w:bookmarkStart w:id="225" w:name="_Toc142833473"/>
      <w:bookmarkStart w:id="226" w:name="_Toc27817"/>
      <w:r>
        <w:rPr>
          <w:rFonts w:hint="eastAsia"/>
          <w:b w:val="0"/>
          <w:bCs w:val="0"/>
          <w:highlight w:val="none"/>
        </w:rPr>
        <w:t>塑造乡村特色景观风貌</w:t>
      </w:r>
      <w:bookmarkEnd w:id="224"/>
      <w:bookmarkEnd w:id="225"/>
      <w:bookmarkEnd w:id="226"/>
    </w:p>
    <w:p>
      <w:pPr>
        <w:rPr>
          <w:rFonts w:cs="Times New Roman"/>
          <w:highlight w:val="none"/>
        </w:rPr>
      </w:pPr>
      <w:r>
        <w:rPr>
          <w:rFonts w:hint="eastAsia" w:cs="Times New Roman"/>
          <w:highlight w:val="none"/>
        </w:rPr>
        <w:t>加强村庄风貌引导，突出乡土特色和地域特点，保护“记得住乡愁”的原生态乡村田园风貌。改善村庄公共环境，充分利用闲置地、废弃地等内部闲置土地建设公共绿地和文化广场。突出保护乡村山体田园、河湖湿地、原生植被、古树名木等要素，因地制宜开展荒山荒地绿化。全面推进农房管控和乡村风貌提升，统筹推进农房微改造，引导新建和修缮农房在建筑样式、风格、色调等与村居整体环境协调，突出客家特色，打造马头镇乡村特色景观风貌。</w:t>
      </w:r>
    </w:p>
    <w:p>
      <w:pPr>
        <w:rPr>
          <w:rFonts w:cs="Times New Roman"/>
          <w:highlight w:val="none"/>
        </w:rPr>
      </w:pPr>
      <w:r>
        <w:rPr>
          <w:rFonts w:hint="eastAsia" w:cs="Times New Roman"/>
          <w:highlight w:val="none"/>
        </w:rPr>
        <w:t>开展马头镇村绿化建设，提升“四旁”“五边”和群众生产生活周边山地的绿化品质，加速“绿”和“美”的有机融合。打造乡村示范点、示范带等。推进森林步道、绿道、绿美碧带、古驿道建设，加速林网、水网、路网“三网”融合，因地制宜打造镇村绿化美化示范样板，着力提升城乡绿化美化水平，为群众提供更多的高品质绿色空间。</w:t>
      </w:r>
    </w:p>
    <w:p>
      <w:pPr>
        <w:rPr>
          <w:rFonts w:cs="Times New Roman"/>
          <w:highlight w:val="none"/>
        </w:rPr>
      </w:pPr>
      <w:r>
        <w:rPr>
          <w:rFonts w:hint="eastAsia" w:cs="Times New Roman"/>
          <w:highlight w:val="none"/>
        </w:rPr>
        <w:t>落实乡村绿化负面清单相关要求，有序推进马头镇乡村绿化美化行动。绿化用地禁止占用永久基本农田；禁止违反各级国土空间总体规划和村庄规划；禁止在生态保护红线、自然保护地核心保护区等生态空间管控区域违规开展绿化；禁止违规占用耕地绿化造林，确需占用的，必须依法依规严格履行审批手续；禁止填湖绿化，禁止在河湖管理范围内种植阻碍行洪的林木。</w:t>
      </w:r>
    </w:p>
    <w:p>
      <w:pPr>
        <w:pStyle w:val="6"/>
        <w:rPr>
          <w:b w:val="0"/>
          <w:bCs w:val="0"/>
          <w:highlight w:val="none"/>
        </w:rPr>
      </w:pPr>
      <w:bookmarkStart w:id="227" w:name="_Toc3149"/>
      <w:r>
        <w:rPr>
          <w:rFonts w:hint="eastAsia"/>
          <w:b w:val="0"/>
          <w:bCs w:val="0"/>
          <w:highlight w:val="none"/>
        </w:rPr>
        <w:t>存量未使用地的腾挪</w:t>
      </w:r>
      <w:bookmarkEnd w:id="227"/>
    </w:p>
    <w:p>
      <w:pPr>
        <w:rPr>
          <w:highlight w:val="none"/>
        </w:rPr>
      </w:pPr>
      <w:r>
        <w:rPr>
          <w:rFonts w:hint="eastAsia"/>
          <w:highlight w:val="none"/>
        </w:rPr>
        <w:t>根据2020年土地利用变更调查成果，现状村庄建设用地203用地面积共计807.1公顷。2020年变更调查203范围内存量未建设用地面积为2</w:t>
      </w:r>
      <w:r>
        <w:rPr>
          <w:highlight w:val="none"/>
        </w:rPr>
        <w:t>86</w:t>
      </w:r>
      <w:r>
        <w:rPr>
          <w:rFonts w:hint="eastAsia"/>
          <w:highlight w:val="none"/>
        </w:rPr>
        <w:t>.19公顷。摸查各村存量未使用建设规模地块建设条件及腾挪的可行性，对集中连片可建设、旧屋拆旧已建新、房前屋后已使用等不腾挪。对于零散用地无交通、房前屋后为陡坎、滩涂沟渠不可建等腾挪的原则。马头镇203</w:t>
      </w:r>
      <w:r>
        <w:rPr>
          <w:rFonts w:hint="eastAsia"/>
          <w:highlight w:val="none"/>
          <w:lang w:eastAsia="zh-CN"/>
        </w:rPr>
        <w:t>规模</w:t>
      </w:r>
      <w:r>
        <w:rPr>
          <w:rFonts w:hint="eastAsia"/>
          <w:highlight w:val="none"/>
        </w:rPr>
        <w:t>腾挪</w:t>
      </w:r>
      <w:r>
        <w:rPr>
          <w:rFonts w:hint="eastAsia"/>
          <w:highlight w:val="none"/>
          <w:lang w:eastAsia="zh-CN"/>
        </w:rPr>
        <w:t>重点</w:t>
      </w:r>
      <w:r>
        <w:rPr>
          <w:rFonts w:hint="eastAsia"/>
          <w:highlight w:val="none"/>
        </w:rPr>
        <w:t>保障镇域重点项目和农村民生设施。</w:t>
      </w:r>
    </w:p>
    <w:p>
      <w:pPr>
        <w:pStyle w:val="5"/>
        <w:spacing w:before="156" w:beforeLines="50" w:after="156" w:afterLines="50"/>
        <w:rPr>
          <w:highlight w:val="none"/>
        </w:rPr>
      </w:pPr>
      <w:bookmarkStart w:id="228" w:name="_Toc23924"/>
      <w:bookmarkStart w:id="229" w:name="_Toc27000"/>
      <w:bookmarkStart w:id="230" w:name="_Toc32609"/>
      <w:bookmarkStart w:id="231" w:name="_Toc26983"/>
      <w:bookmarkStart w:id="232" w:name="_Toc13830"/>
      <w:r>
        <w:rPr>
          <w:rFonts w:hint="eastAsia"/>
          <w:highlight w:val="none"/>
        </w:rPr>
        <w:t>历史文化保护</w:t>
      </w:r>
      <w:bookmarkEnd w:id="228"/>
      <w:bookmarkEnd w:id="229"/>
      <w:bookmarkEnd w:id="230"/>
      <w:bookmarkEnd w:id="231"/>
      <w:bookmarkEnd w:id="232"/>
    </w:p>
    <w:p>
      <w:pPr>
        <w:pStyle w:val="6"/>
        <w:rPr>
          <w:b w:val="0"/>
          <w:bCs w:val="0"/>
          <w:highlight w:val="none"/>
        </w:rPr>
      </w:pPr>
      <w:bookmarkStart w:id="233" w:name="_Toc26991"/>
      <w:bookmarkStart w:id="234" w:name="_Toc24811"/>
      <w:bookmarkStart w:id="235" w:name="_Toc12069"/>
      <w:bookmarkStart w:id="236" w:name="_Toc21559"/>
      <w:bookmarkStart w:id="237" w:name="_Toc14550"/>
      <w:r>
        <w:rPr>
          <w:rFonts w:hint="eastAsia"/>
          <w:b w:val="0"/>
          <w:bCs w:val="0"/>
          <w:highlight w:val="none"/>
        </w:rPr>
        <w:t>加强对历史文化资源的整体保护</w:t>
      </w:r>
      <w:bookmarkEnd w:id="233"/>
      <w:bookmarkEnd w:id="234"/>
      <w:bookmarkEnd w:id="235"/>
      <w:bookmarkEnd w:id="236"/>
      <w:bookmarkEnd w:id="237"/>
    </w:p>
    <w:p>
      <w:pPr>
        <w:rPr>
          <w:highlight w:val="none"/>
        </w:rPr>
      </w:pPr>
      <w:r>
        <w:rPr>
          <w:rFonts w:hint="eastAsia"/>
          <w:highlight w:val="none"/>
        </w:rPr>
        <w:t>以保护历史信息真实载体、保护历史环境、合理利用、永续保存为原则，明确马头镇历史文化遗产及其环境在未来城镇建设中的定位，建立历史文化遗产保护体系。实现对历史文化遗产及其环境的全面、有效保护与合理利用，改善城镇环境，适应当代生活的物质和精神需求，推动地方文化建设，促进经济、社会综合发展。</w:t>
      </w:r>
    </w:p>
    <w:p>
      <w:pPr>
        <w:rPr>
          <w:highlight w:val="none"/>
        </w:rPr>
      </w:pPr>
      <w:r>
        <w:rPr>
          <w:rFonts w:hint="eastAsia"/>
          <w:highlight w:val="none"/>
        </w:rPr>
        <w:t>重点保护</w:t>
      </w:r>
      <w:bookmarkStart w:id="238" w:name="_Hlk144470717"/>
      <w:r>
        <w:rPr>
          <w:rFonts w:hint="eastAsia"/>
          <w:highlight w:val="none"/>
        </w:rPr>
        <w:t>马头镇潭石村九栋十八井村</w:t>
      </w:r>
      <w:bookmarkEnd w:id="238"/>
      <w:r>
        <w:rPr>
          <w:rFonts w:hint="eastAsia"/>
          <w:highlight w:val="none"/>
        </w:rPr>
        <w:t>省级传统村落1处，省级文物保护单位麻埔石桥1处、县级文物保护单位3处，分别为赵有兴等烈士纪念碑、张田坑革命烈纪念碑、郭祥烈士墓，市级历史建筑6处，分别为潭石广公祠、石角四兴屋、层坑乎昌屋、层坑上连塘屋、潭石官氏祠堂、谦六堂。加强19处尚未核定公布为文物保护单位的不可移动文物的保护。</w:t>
      </w:r>
    </w:p>
    <w:p>
      <w:pPr>
        <w:pStyle w:val="6"/>
        <w:rPr>
          <w:b w:val="0"/>
          <w:bCs w:val="0"/>
          <w:highlight w:val="none"/>
        </w:rPr>
      </w:pPr>
      <w:bookmarkStart w:id="239" w:name="_Toc9596"/>
      <w:bookmarkStart w:id="240" w:name="_Toc21056"/>
      <w:bookmarkStart w:id="241" w:name="_Toc9786"/>
      <w:bookmarkStart w:id="242" w:name="_Toc30568"/>
      <w:bookmarkStart w:id="243" w:name="_Toc15868"/>
      <w:r>
        <w:rPr>
          <w:rFonts w:hint="eastAsia"/>
          <w:b w:val="0"/>
          <w:bCs w:val="0"/>
          <w:highlight w:val="none"/>
        </w:rPr>
        <w:t>活化利用历史文化保护资源</w:t>
      </w:r>
      <w:bookmarkEnd w:id="239"/>
      <w:bookmarkEnd w:id="240"/>
      <w:bookmarkEnd w:id="241"/>
      <w:bookmarkEnd w:id="242"/>
      <w:bookmarkEnd w:id="243"/>
    </w:p>
    <w:p>
      <w:pPr>
        <w:rPr>
          <w:highlight w:val="none"/>
        </w:rPr>
      </w:pPr>
      <w:r>
        <w:rPr>
          <w:rFonts w:hint="eastAsia"/>
          <w:highlight w:val="none"/>
        </w:rPr>
        <w:t>发挥资源优势，打造特色文化品牌。依托优质自然山水资源条件，着力改善生态环境，提升自然景观，打造出生态优美的景观节点，凸显秀美自然生态环境。同时，因地制宜发展资源环境可承载的特色产业，结合马头镇镇域历史建筑、民俗文化等特色，打造地方文化品牌。</w:t>
      </w:r>
    </w:p>
    <w:p>
      <w:pPr>
        <w:rPr>
          <w:highlight w:val="none"/>
        </w:rPr>
      </w:pPr>
      <w:r>
        <w:rPr>
          <w:rFonts w:hint="eastAsia"/>
          <w:highlight w:val="none"/>
        </w:rPr>
        <w:t>挖掘特色资源，推动旅游开发。深入挖掘马头镇域生态环境、民俗文化、农业文化等特色，完善镇域传统村落的配套设施建设，发展旅游、开设特色旅馆以及文化手艺培训等。针对不同主题、不同时节推出丰富的旅游产品，以促进马头旅游开发。</w:t>
      </w:r>
    </w:p>
    <w:p>
      <w:pPr>
        <w:rPr>
          <w:highlight w:val="none"/>
        </w:rPr>
      </w:pPr>
      <w:r>
        <w:rPr>
          <w:rFonts w:hint="eastAsia"/>
          <w:highlight w:val="none"/>
        </w:rPr>
        <w:t>整合全域资源要素，推动全域旅游发展。合理规划旅游路线，整合旅游资源成网，对历史文物进行修缮保护，置入新的功能，展示当地的传统文化、民俗风情的同时，激发镇域整体活力。同时，以红传统村落为载体，创新融合农业空间和服务业空间，打造文化旅游线路，发展红色研学旅游，以深业农科农旅融合示范区为载体，发展农业观光体验、休闲康养旅游，引导生态文化旅游创新发展，推动马头镇旅游全域发展。</w:t>
      </w:r>
    </w:p>
    <w:p>
      <w:pPr>
        <w:pStyle w:val="6"/>
        <w:keepNext/>
        <w:keepLines/>
        <w:jc w:val="both"/>
        <w:rPr>
          <w:b w:val="0"/>
          <w:bCs w:val="0"/>
          <w:highlight w:val="none"/>
        </w:rPr>
      </w:pPr>
      <w:bookmarkStart w:id="244" w:name="_Toc10617"/>
      <w:r>
        <w:rPr>
          <w:rFonts w:hint="eastAsia"/>
          <w:b w:val="0"/>
          <w:bCs w:val="0"/>
          <w:highlight w:val="none"/>
        </w:rPr>
        <w:t>划定历史文化保护线</w:t>
      </w:r>
      <w:bookmarkEnd w:id="244"/>
    </w:p>
    <w:p>
      <w:pPr>
        <w:rPr>
          <w:highlight w:val="none"/>
          <w:u w:val="single"/>
        </w:rPr>
      </w:pPr>
      <w:r>
        <w:rPr>
          <w:rFonts w:hint="eastAsia"/>
          <w:highlight w:val="none"/>
        </w:rPr>
        <w:t>落实上位规划划定历史文化保护线，主要包括传统村落、各级文物保护单位、历史建筑等历史文化遗存的保护范围。历史文化保护线可结合各保护要素管理部门的名录进行动态调整，自动覆盖本规划划定的历史文化保护线。</w:t>
      </w:r>
      <w:r>
        <w:rPr>
          <w:rFonts w:hint="eastAsia"/>
          <w:highlight w:val="none"/>
          <w:u w:val="single"/>
        </w:rPr>
        <w:t>未划定公布保护范围的文物保护单位，执行临时保护范围，古墓葬、古建筑、近现代重要史迹及代表性建筑、其他类型文物保护单位保护范围界线从文物本体边界外扩5米；古遗址、石窟寺及石刻保护范围从最外侧有遗迹现象点以外外扩30米。</w:t>
      </w:r>
    </w:p>
    <w:p>
      <w:pPr>
        <w:rPr>
          <w:highlight w:val="none"/>
        </w:rPr>
      </w:pPr>
      <w:r>
        <w:rPr>
          <w:rFonts w:hint="eastAsia"/>
          <w:highlight w:val="none"/>
        </w:rPr>
        <w:t>在历史文化保护线范围内禁止进行违反保护规划的大面积拆除、开发；对传统格局和风貌构成影响的大面积改建；损坏或者拆毁保护规划确定保护的建筑物、构筑物和其他设施；修建破坏传统风貌的建筑物、构筑物和其他设施；占用或者破坏保护规划确定保留的园林绿地、湖泊水系、道路和古树名木等；其他对保护构成破坏性影响的活动等。</w:t>
      </w:r>
      <w:r>
        <w:rPr>
          <w:rFonts w:hint="eastAsia"/>
          <w:highlight w:val="none"/>
        </w:rPr>
        <w:br w:type="page"/>
      </w:r>
    </w:p>
    <w:p>
      <w:pPr>
        <w:pStyle w:val="4"/>
        <w:numPr>
          <w:ilvl w:val="0"/>
          <w:numId w:val="5"/>
        </w:numPr>
        <w:spacing w:before="312" w:after="312"/>
        <w:ind w:left="0" w:firstLine="0"/>
        <w:rPr>
          <w:b w:val="0"/>
          <w:bCs w:val="0"/>
          <w:highlight w:val="none"/>
        </w:rPr>
      </w:pPr>
      <w:bookmarkStart w:id="245" w:name="_Toc19301"/>
      <w:r>
        <w:rPr>
          <w:rFonts w:hint="eastAsia"/>
          <w:b w:val="0"/>
          <w:bCs w:val="0"/>
          <w:highlight w:val="none"/>
        </w:rPr>
        <w:t>基础设施支撑体系</w:t>
      </w:r>
      <w:bookmarkEnd w:id="245"/>
    </w:p>
    <w:p>
      <w:pPr>
        <w:pStyle w:val="5"/>
        <w:numPr>
          <w:ilvl w:val="0"/>
          <w:numId w:val="7"/>
        </w:numPr>
        <w:spacing w:before="156" w:beforeLines="50" w:after="156" w:afterLines="50"/>
        <w:rPr>
          <w:highlight w:val="none"/>
        </w:rPr>
      </w:pPr>
      <w:bookmarkStart w:id="246" w:name="_Toc29518"/>
      <w:r>
        <w:rPr>
          <w:rFonts w:hint="eastAsia"/>
          <w:highlight w:val="none"/>
        </w:rPr>
        <w:t>综合交通网络</w:t>
      </w:r>
      <w:bookmarkEnd w:id="246"/>
    </w:p>
    <w:p>
      <w:pPr>
        <w:pStyle w:val="6"/>
        <w:rPr>
          <w:b w:val="0"/>
          <w:bCs w:val="0"/>
          <w:highlight w:val="none"/>
        </w:rPr>
      </w:pPr>
      <w:bookmarkStart w:id="247" w:name="_Toc1339"/>
      <w:r>
        <w:rPr>
          <w:rFonts w:hint="eastAsia"/>
          <w:b w:val="0"/>
          <w:bCs w:val="0"/>
          <w:highlight w:val="none"/>
        </w:rPr>
        <w:t>交通发展目标</w:t>
      </w:r>
      <w:bookmarkEnd w:id="247"/>
    </w:p>
    <w:p>
      <w:pPr>
        <w:rPr>
          <w:highlight w:val="none"/>
        </w:rPr>
      </w:pPr>
      <w:r>
        <w:rPr>
          <w:rFonts w:hint="eastAsia"/>
          <w:highlight w:val="none"/>
        </w:rPr>
        <w:t>构建便捷高效的绿色交通系统为目标，落实上位规划要求，助力加快新丰县推进运输体系建设，加快融入广州都市圈“1小时通勤圈”。马头镇从区域连通、内部优化、农村道路设施完善等方面，构建马头镇外联内畅、高效便捷的综合交通体系。</w:t>
      </w:r>
    </w:p>
    <w:p>
      <w:pPr>
        <w:pStyle w:val="6"/>
        <w:rPr>
          <w:b w:val="0"/>
          <w:bCs w:val="0"/>
          <w:highlight w:val="none"/>
        </w:rPr>
      </w:pPr>
      <w:bookmarkStart w:id="248" w:name="_Toc23145"/>
      <w:r>
        <w:rPr>
          <w:rFonts w:hint="eastAsia"/>
          <w:b w:val="0"/>
          <w:bCs w:val="0"/>
          <w:highlight w:val="none"/>
        </w:rPr>
        <w:t>公路交通系统规划</w:t>
      </w:r>
      <w:bookmarkEnd w:id="248"/>
    </w:p>
    <w:p>
      <w:pPr>
        <w:rPr>
          <w:highlight w:val="none"/>
        </w:rPr>
      </w:pPr>
      <w:r>
        <w:rPr>
          <w:rFonts w:hint="eastAsia"/>
          <w:highlight w:val="none"/>
        </w:rPr>
        <w:t>镇域对外交通主要依托大广高速公路、国道G105线、省道S259，未来将通过省道S259线新丰石角至黄草洞段公路改建工程、省道S259线新丰马头至石角段路面改造工、通建制村农村公路“单改双”项目、危桥改造项目和道路养护项目等，不断提升镇域道路交通通行能力和服务能力。</w:t>
      </w:r>
    </w:p>
    <w:p>
      <w:pPr>
        <w:pStyle w:val="6"/>
        <w:rPr>
          <w:b w:val="0"/>
          <w:bCs w:val="0"/>
          <w:highlight w:val="none"/>
        </w:rPr>
      </w:pPr>
      <w:bookmarkStart w:id="249" w:name="_Toc562"/>
      <w:r>
        <w:rPr>
          <w:rFonts w:hint="eastAsia"/>
          <w:b w:val="0"/>
          <w:bCs w:val="0"/>
          <w:highlight w:val="none"/>
        </w:rPr>
        <w:t>乡村道路系统规划</w:t>
      </w:r>
      <w:bookmarkEnd w:id="249"/>
    </w:p>
    <w:p>
      <w:pPr>
        <w:rPr>
          <w:highlight w:val="none"/>
        </w:rPr>
      </w:pPr>
      <w:r>
        <w:rPr>
          <w:rFonts w:hint="eastAsia"/>
          <w:highlight w:val="none"/>
        </w:rPr>
        <w:t>巩固“村村通、户户通”道路建设成果，</w:t>
      </w:r>
      <w:r>
        <w:rPr>
          <w:rFonts w:hint="eastAsia"/>
          <w:color w:val="000000" w:themeColor="text1"/>
          <w:szCs w:val="24"/>
          <w:highlight w:val="none"/>
          <w14:textFill>
            <w14:solidFill>
              <w14:schemeClr w14:val="tx1"/>
            </w14:solidFill>
          </w14:textFill>
        </w:rPr>
        <w:t>深入开展“四好农村路”、四级路“单改双”等建设</w:t>
      </w:r>
      <w:r>
        <w:rPr>
          <w:rFonts w:hint="eastAsia"/>
          <w:highlight w:val="none"/>
        </w:rPr>
        <w:t>，强化农村公路与干线公路、城市道路以及其他运输方式的衔接。结合城乡居民点调整、产业布局优化，进一步完善镇域道路交通系统，优化农村道路布局，提高城乡机动化出行可达性。规划镇域农村道路宽度一般不低于4米，满足农业产业化、规模化发展需要，支撑城乡空间发展。</w:t>
      </w:r>
    </w:p>
    <w:p>
      <w:pPr>
        <w:pStyle w:val="6"/>
        <w:rPr>
          <w:b w:val="0"/>
          <w:bCs w:val="0"/>
          <w:highlight w:val="none"/>
        </w:rPr>
      </w:pPr>
      <w:bookmarkStart w:id="250" w:name="_Toc31822"/>
      <w:r>
        <w:rPr>
          <w:rFonts w:hint="eastAsia"/>
          <w:b w:val="0"/>
          <w:bCs w:val="0"/>
          <w:highlight w:val="none"/>
        </w:rPr>
        <w:t>交通设施布局规划</w:t>
      </w:r>
      <w:bookmarkEnd w:id="250"/>
    </w:p>
    <w:p>
      <w:pPr>
        <w:rPr>
          <w:highlight w:val="none"/>
        </w:rPr>
      </w:pPr>
      <w:r>
        <w:rPr>
          <w:rFonts w:hint="eastAsia"/>
          <w:highlight w:val="none"/>
        </w:rPr>
        <w:t>落实上位规划乡镇枢纽客运站和乡村便利客运站点组成的多级客运场站体系，为各级交通有效转换提供载体和平台。本次规划落实马头镇</w:t>
      </w:r>
      <w:r>
        <w:rPr>
          <w:rFonts w:hint="eastAsia" w:ascii="仿宋_GB2312" w:hAnsi="仿宋_GB2312" w:cs="仿宋_GB2312"/>
          <w:highlight w:val="none"/>
        </w:rPr>
        <w:t>客运站用地，并结合马头镇村庄布局，建设乡村便利站点。</w:t>
      </w:r>
    </w:p>
    <w:p>
      <w:pPr>
        <w:rPr>
          <w:highlight w:val="none"/>
        </w:rPr>
      </w:pPr>
      <w:r>
        <w:rPr>
          <w:rFonts w:hint="eastAsia"/>
          <w:highlight w:val="none"/>
        </w:rPr>
        <w:t>落实上位规划构建“一主二辅多节点”三级货运枢纽体系。其中“二辅”为依托马头镇货运站、回龙镇货运站的货运枢纽，本次规划落实马头镇货运站用地，并依托马头镇主要要交通节点和产业集聚地，构建地区性物流节点。</w:t>
      </w:r>
    </w:p>
    <w:p>
      <w:pPr>
        <w:pStyle w:val="6"/>
        <w:rPr>
          <w:b w:val="0"/>
          <w:bCs w:val="0"/>
          <w:highlight w:val="none"/>
        </w:rPr>
      </w:pPr>
      <w:bookmarkStart w:id="251" w:name="_Toc17220"/>
      <w:r>
        <w:rPr>
          <w:rFonts w:hint="eastAsia"/>
          <w:b w:val="0"/>
          <w:bCs w:val="0"/>
          <w:highlight w:val="none"/>
        </w:rPr>
        <w:t>强化绿色交通</w:t>
      </w:r>
      <w:bookmarkEnd w:id="251"/>
    </w:p>
    <w:p>
      <w:pPr>
        <w:rPr>
          <w:highlight w:val="none"/>
        </w:rPr>
      </w:pPr>
      <w:r>
        <w:rPr>
          <w:rFonts w:hint="eastAsia"/>
          <w:highlight w:val="none"/>
        </w:rPr>
        <w:t>结合南粤古驿道、绿道、碧道建设，完善慢行交通网络，优先保障步行和非机动车路权，构建覆盖地上地下、室内户外，系统安全的慢行交通网络。围绕车站、公交枢纽，构建与周边建筑便捷联系的慢行通道，解决公交“最后1公里”问题。</w:t>
      </w:r>
    </w:p>
    <w:p>
      <w:pPr>
        <w:pStyle w:val="5"/>
        <w:spacing w:before="156" w:beforeLines="50" w:after="156" w:afterLines="50"/>
        <w:rPr>
          <w:highlight w:val="none"/>
        </w:rPr>
      </w:pPr>
      <w:bookmarkStart w:id="252" w:name="_Toc29037"/>
      <w:r>
        <w:rPr>
          <w:rFonts w:hint="eastAsia"/>
          <w:highlight w:val="none"/>
        </w:rPr>
        <w:t>基础设施体系</w:t>
      </w:r>
      <w:bookmarkEnd w:id="252"/>
    </w:p>
    <w:p>
      <w:pPr>
        <w:pStyle w:val="6"/>
        <w:rPr>
          <w:b w:val="0"/>
          <w:bCs w:val="0"/>
          <w:highlight w:val="none"/>
        </w:rPr>
      </w:pPr>
      <w:bookmarkStart w:id="253" w:name="_Toc13566"/>
      <w:r>
        <w:rPr>
          <w:rFonts w:hint="eastAsia"/>
          <w:b w:val="0"/>
          <w:bCs w:val="0"/>
          <w:highlight w:val="none"/>
        </w:rPr>
        <w:t>给水工程规划</w:t>
      </w:r>
      <w:bookmarkEnd w:id="253"/>
    </w:p>
    <w:p>
      <w:pPr>
        <w:rPr>
          <w:highlight w:val="none"/>
        </w:rPr>
      </w:pPr>
      <w:r>
        <w:rPr>
          <w:rFonts w:hint="eastAsia"/>
          <w:highlight w:val="none"/>
        </w:rPr>
        <w:t>优化城乡供水格局，实施节约用水制度化管理，全面推进节水型社会建设，有效节约水资源。加快推进城乡一体化供水工程、农村供水保障工程，完善供水管网。城镇集中式饮用水水源全面实现达标建设，农村饮用水分散式集中供水，自来水普及率达到100%。</w:t>
      </w:r>
    </w:p>
    <w:p>
      <w:pPr>
        <w:rPr>
          <w:highlight w:val="none"/>
        </w:rPr>
      </w:pPr>
      <w:r>
        <w:rPr>
          <w:rFonts w:hint="eastAsia"/>
          <w:highlight w:val="none"/>
          <w:lang w:bidi="ar"/>
        </w:rPr>
        <w:t>马头镇区已纳入城镇供水范围，由马头镇上善自来水厂供水。水源为鲁古河自然保护区水库引水，规划落实上善自来水厂扩建工程用地。</w:t>
      </w:r>
      <w:r>
        <w:rPr>
          <w:rFonts w:hint="eastAsia"/>
          <w:highlight w:val="none"/>
        </w:rPr>
        <w:t>规划至2035年，预测最高日用水量规模为1.0万m</w:t>
      </w:r>
      <w:r>
        <w:rPr>
          <w:rFonts w:ascii="Calibri" w:hAnsi="Calibri" w:cs="Calibri"/>
          <w:highlight w:val="none"/>
        </w:rPr>
        <w:t>³</w:t>
      </w:r>
      <w:r>
        <w:rPr>
          <w:rFonts w:hint="eastAsia"/>
          <w:highlight w:val="none"/>
        </w:rPr>
        <w:t>/d，生活用水总量控制满足上级要求。</w:t>
      </w:r>
    </w:p>
    <w:p>
      <w:pPr>
        <w:pStyle w:val="6"/>
        <w:rPr>
          <w:b w:val="0"/>
          <w:bCs w:val="0"/>
          <w:highlight w:val="none"/>
        </w:rPr>
      </w:pPr>
      <w:bookmarkStart w:id="254" w:name="_Toc15000"/>
      <w:r>
        <w:rPr>
          <w:rFonts w:hint="eastAsia"/>
          <w:b w:val="0"/>
          <w:bCs w:val="0"/>
          <w:highlight w:val="none"/>
        </w:rPr>
        <w:t>污水工程规划</w:t>
      </w:r>
      <w:bookmarkEnd w:id="254"/>
    </w:p>
    <w:p>
      <w:pPr>
        <w:rPr>
          <w:highlight w:val="none"/>
        </w:rPr>
      </w:pPr>
      <w:r>
        <w:rPr>
          <w:rFonts w:hint="eastAsia"/>
          <w:highlight w:val="none"/>
        </w:rPr>
        <w:t>全面推进污水收集处理，改善水生态环境。规划村镇实行雨污分流制，现状建成区全面实施雨污分流改造，新建区严格按完全分流制进行污水管网系统建设。至规划期末，镇域内污水应收尽收，镇区的污水处理率达到100%以上；镇域村庄污水处理设施覆盖率达到100%。农村污水处理设施建设统筹规划、连片建设。人口规模较大的村庄优先建设集中式污水处理设施，对城镇周边的村庄生活污水优先纳入城镇污水系统统一处理，人口规模较小、边远山区的农村采用资源化利用模式进行污水收集治理。到2035年，预测污水量0.8万m</w:t>
      </w:r>
      <w:r>
        <w:rPr>
          <w:rFonts w:ascii="Calibri" w:hAnsi="Calibri" w:cs="Calibri"/>
          <w:highlight w:val="none"/>
        </w:rPr>
        <w:t>³</w:t>
      </w:r>
      <w:r>
        <w:rPr>
          <w:rFonts w:hint="eastAsia"/>
          <w:highlight w:val="none"/>
        </w:rPr>
        <w:t>/d。</w:t>
      </w:r>
    </w:p>
    <w:p>
      <w:pPr>
        <w:pStyle w:val="6"/>
        <w:rPr>
          <w:b w:val="0"/>
          <w:bCs w:val="0"/>
          <w:highlight w:val="none"/>
        </w:rPr>
      </w:pPr>
      <w:bookmarkStart w:id="255" w:name="_Toc18838"/>
      <w:r>
        <w:rPr>
          <w:rFonts w:hint="eastAsia"/>
          <w:b w:val="0"/>
          <w:bCs w:val="0"/>
          <w:highlight w:val="none"/>
        </w:rPr>
        <w:t>雨水工程规划</w:t>
      </w:r>
      <w:bookmarkEnd w:id="255"/>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加快对城镇建成区易涝点整治，防涝能力达到</w:t>
      </w:r>
      <w:r>
        <w:rPr>
          <w:rFonts w:cs="Times New Roman"/>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t>年一遇。</w:t>
      </w:r>
      <w:r>
        <w:rPr>
          <w:rFonts w:hint="eastAsia"/>
          <w:color w:val="000000" w:themeColor="text1"/>
          <w:highlight w:val="none"/>
          <w14:textFill>
            <w14:solidFill>
              <w14:schemeClr w14:val="tx1"/>
            </w14:solidFill>
          </w14:textFill>
        </w:rPr>
        <w:t>雨水管渠设计重现期一般地区设计重现期采用2-3年，特别重要地段、立体交叉路段可采用5-10年或以上标准。根据地形地貌和用地布局收集雨水就近分散排入附近水系，采用低水低排、高水高排的原则布置雨水管网。</w:t>
      </w:r>
      <w:r>
        <w:rPr>
          <w:color w:val="000000" w:themeColor="text1"/>
          <w:highlight w:val="none"/>
          <w14:textFill>
            <w14:solidFill>
              <w14:schemeClr w14:val="tx1"/>
            </w14:solidFill>
          </w14:textFill>
        </w:rPr>
        <w:t>对易涝点的雨水口和排水管渠进行改造，科学合理设置大型排水</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雨水</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管</w:t>
      </w:r>
      <w:r>
        <w:rPr>
          <w:rFonts w:hint="eastAsia"/>
          <w:color w:val="000000" w:themeColor="text1"/>
          <w:highlight w:val="none"/>
          <w14:textFill>
            <w14:solidFill>
              <w14:schemeClr w14:val="tx1"/>
            </w14:solidFill>
          </w14:textFill>
        </w:rPr>
        <w:t>渠</w:t>
      </w:r>
      <w:r>
        <w:rPr>
          <w:color w:val="000000" w:themeColor="text1"/>
          <w:highlight w:val="none"/>
          <w14:textFill>
            <w14:solidFill>
              <w14:schemeClr w14:val="tx1"/>
            </w14:solidFill>
          </w14:textFill>
        </w:rPr>
        <w:t>。对易涝点的排水防涝泵站进行升级改造或增设机排能力，充分利用绿地、广场</w:t>
      </w:r>
      <w:r>
        <w:rPr>
          <w:rFonts w:hint="eastAsia"/>
          <w:color w:val="000000" w:themeColor="text1"/>
          <w:highlight w:val="none"/>
          <w14:textFill>
            <w14:solidFill>
              <w14:schemeClr w14:val="tx1"/>
            </w14:solidFill>
          </w14:textFill>
        </w:rPr>
        <w:t>等</w:t>
      </w:r>
      <w:r>
        <w:rPr>
          <w:color w:val="000000" w:themeColor="text1"/>
          <w:highlight w:val="none"/>
          <w14:textFill>
            <w14:solidFill>
              <w14:schemeClr w14:val="tx1"/>
            </w14:solidFill>
          </w14:textFill>
        </w:rPr>
        <w:t>空间建设雨水调蓄设施，</w:t>
      </w:r>
      <w:r>
        <w:rPr>
          <w:rFonts w:hint="eastAsia"/>
          <w:color w:val="000000" w:themeColor="text1"/>
          <w:highlight w:val="none"/>
          <w14:textFill>
            <w14:solidFill>
              <w14:schemeClr w14:val="tx1"/>
            </w14:solidFill>
          </w14:textFill>
        </w:rPr>
        <w:t>推进海绵城市建设，</w:t>
      </w:r>
      <w:r>
        <w:rPr>
          <w:color w:val="000000" w:themeColor="text1"/>
          <w:highlight w:val="none"/>
          <w14:textFill>
            <w14:solidFill>
              <w14:schemeClr w14:val="tx1"/>
            </w14:solidFill>
          </w14:textFill>
        </w:rPr>
        <w:t>配套建设雨水泵站自动控制系统和遥测遥控及预警预报系统。</w:t>
      </w:r>
    </w:p>
    <w:p>
      <w:pPr>
        <w:rPr>
          <w:highlight w:val="none"/>
        </w:rPr>
      </w:pPr>
      <w:r>
        <w:rPr>
          <w:rFonts w:hint="eastAsia"/>
          <w:highlight w:val="none"/>
        </w:rPr>
        <w:t>倡导雨水就地收集利用，建议保留部分地势低洼地，改建成调节性蓄水池，在地块内设置地下贮水池储存雨水，降低综合径流系数，同时补给地下水，实现雨水再利用。采取各种措施减少不透水面积，新建人行道、停车场等需要铺装的地面，原则上应采用透水性良好的材料。必须采用不透水面的地段，要尽量设置截流、渗滤设施，减少雨水外排量。</w:t>
      </w:r>
    </w:p>
    <w:p>
      <w:pPr>
        <w:widowControl/>
        <w:jc w:val="left"/>
        <w:rPr>
          <w:highlight w:val="none"/>
        </w:rPr>
      </w:pPr>
      <w:r>
        <w:rPr>
          <w:rFonts w:hint="eastAsia"/>
          <w:highlight w:val="none"/>
        </w:rPr>
        <w:t>加强海绵城市建设，规划疏浚连通江、河、溪、沟、塘、渠等水系，加强水系连通，加强排水通道管控，保留现状坑塘水面，提升区域雨水滞蓄能力，构建内部河道两岸的生态缓冲带，沿河两岸建成滨水生态绿廊，提高区内径流量的控制以及降低面源污染对河涌水质的影响。将海绵道路、海绵小区、海绵市政、海绵公园等海绵城市建设理念融合到示范区的近期建设项目中去。</w:t>
      </w:r>
    </w:p>
    <w:p>
      <w:pPr>
        <w:pStyle w:val="6"/>
        <w:rPr>
          <w:b w:val="0"/>
          <w:bCs w:val="0"/>
          <w:highlight w:val="none"/>
        </w:rPr>
      </w:pPr>
      <w:bookmarkStart w:id="256" w:name="_Toc19244"/>
      <w:r>
        <w:rPr>
          <w:rFonts w:hint="eastAsia"/>
          <w:b w:val="0"/>
          <w:bCs w:val="0"/>
          <w:highlight w:val="none"/>
        </w:rPr>
        <w:t>电力工程规划</w:t>
      </w:r>
      <w:bookmarkEnd w:id="256"/>
    </w:p>
    <w:p>
      <w:pPr>
        <w:rPr>
          <w:highlight w:val="none"/>
        </w:rPr>
      </w:pPr>
      <w:r>
        <w:rPr>
          <w:rFonts w:hint="eastAsia"/>
          <w:highlight w:val="none"/>
        </w:rPr>
        <w:t>建设安全高效、供电可靠的电力系统。完善电网网架结构，新增变电站布点，增强供电能力，提高供电可靠性。10kV及以下线路在镇区中心及重要景观道路上应尽可能采用电力电36缆沿道路东侧和北侧地埋。电缆通道一般采用排管、沟道等形式，在变电所出口主通道上地下管廊的规模采用24线、36线，一般采用8线—12线。</w:t>
      </w:r>
    </w:p>
    <w:p>
      <w:pPr>
        <w:pStyle w:val="6"/>
        <w:rPr>
          <w:b w:val="0"/>
          <w:bCs w:val="0"/>
          <w:highlight w:val="none"/>
        </w:rPr>
      </w:pPr>
      <w:bookmarkStart w:id="257" w:name="_Toc20714"/>
      <w:r>
        <w:rPr>
          <w:rFonts w:hint="eastAsia"/>
          <w:b w:val="0"/>
          <w:bCs w:val="0"/>
          <w:highlight w:val="none"/>
        </w:rPr>
        <w:t>通信工程规划</w:t>
      </w:r>
      <w:bookmarkEnd w:id="257"/>
    </w:p>
    <w:p>
      <w:pPr>
        <w:rPr>
          <w:highlight w:val="none"/>
        </w:rPr>
      </w:pPr>
      <w:r>
        <w:rPr>
          <w:rFonts w:hint="eastAsia"/>
          <w:highlight w:val="none"/>
        </w:rPr>
        <w:t>深化电信网、互联网和广电网三大网络融合。构建“融合、安全、泛在”的通信基础设施。加强镇域内建设5G基站，基站占地约50平方米，提高镇区通信效率，普及通信网络设施。保留镇区现有的电信支局、邮政支局，与周边商业设施混合使用，不占独立用地。</w:t>
      </w:r>
    </w:p>
    <w:p>
      <w:pPr>
        <w:pStyle w:val="6"/>
        <w:rPr>
          <w:b w:val="0"/>
          <w:bCs w:val="0"/>
          <w:highlight w:val="none"/>
        </w:rPr>
      </w:pPr>
      <w:bookmarkStart w:id="258" w:name="_Toc7581"/>
      <w:r>
        <w:rPr>
          <w:rFonts w:hint="eastAsia"/>
          <w:b w:val="0"/>
          <w:bCs w:val="0"/>
          <w:highlight w:val="none"/>
        </w:rPr>
        <w:t>燃气工程规划</w:t>
      </w:r>
      <w:bookmarkEnd w:id="258"/>
    </w:p>
    <w:p>
      <w:pPr>
        <w:rPr>
          <w:highlight w:val="none"/>
        </w:rPr>
      </w:pPr>
      <w:r>
        <w:rPr>
          <w:rFonts w:hint="eastAsia"/>
          <w:highlight w:val="none"/>
        </w:rPr>
        <w:t>根据《城镇燃气规划规范》（GB/T 51098-2015），城镇用气低水平的城镇，人均综合用气量规划值按照5250~10500MJ/人a取值，全镇按照8000MJ/人a计算，规划至2035年，全镇常住人口预测为2.1万人，用气量为16800万MJa。规划至2035年，全镇气源以管道天然气为主，液化天然气为辅，配合使用。</w:t>
      </w:r>
    </w:p>
    <w:p>
      <w:pPr>
        <w:pStyle w:val="6"/>
        <w:rPr>
          <w:b w:val="0"/>
          <w:bCs w:val="0"/>
          <w:highlight w:val="none"/>
        </w:rPr>
      </w:pPr>
      <w:bookmarkStart w:id="259" w:name="_Toc25962"/>
      <w:r>
        <w:rPr>
          <w:rFonts w:hint="eastAsia"/>
          <w:b w:val="0"/>
          <w:bCs w:val="0"/>
          <w:highlight w:val="none"/>
        </w:rPr>
        <w:t>环卫工程规划</w:t>
      </w:r>
      <w:bookmarkEnd w:id="259"/>
    </w:p>
    <w:p>
      <w:pPr>
        <w:rPr>
          <w:highlight w:val="none"/>
        </w:rPr>
      </w:pPr>
      <w:r>
        <w:rPr>
          <w:rFonts w:hint="eastAsia"/>
          <w:highlight w:val="none"/>
        </w:rPr>
        <w:t>完善清洁高效的垃圾分类处理系统，规划保留</w:t>
      </w:r>
      <w:r>
        <w:rPr>
          <w:rFonts w:hint="eastAsia" w:cs="Times New Roman"/>
          <w:highlight w:val="none"/>
        </w:rPr>
        <w:t>马头镇石角</w:t>
      </w:r>
      <w:r>
        <w:rPr>
          <w:rFonts w:hint="eastAsia" w:ascii="仿宋_GB2312" w:hAnsi="仿宋_GB2312" w:cs="仿宋_GB2312"/>
          <w:highlight w:val="none"/>
        </w:rPr>
        <w:t>生活垃圾综合减量集运站。并</w:t>
      </w:r>
      <w:r>
        <w:rPr>
          <w:rFonts w:hint="eastAsia"/>
          <w:highlight w:val="none"/>
        </w:rPr>
        <w:t>以提高垃圾分类收集率、资源回收率、无害化处理率和保护环境为目的，整合现有环境卫生资源，建立密闭化、无污染的垃圾收运体系及完善的环境卫生配套设施，实现垃圾“减量化、资源化、无害化”的目标。</w:t>
      </w:r>
    </w:p>
    <w:p>
      <w:pPr>
        <w:rPr>
          <w:highlight w:val="none"/>
        </w:rPr>
      </w:pPr>
      <w:r>
        <w:rPr>
          <w:rFonts w:hint="eastAsia"/>
          <w:highlight w:val="none"/>
        </w:rPr>
        <w:t>规划保留现有公共厕所，并改造提升标准，近期内消除旱厕；新建的公厕以独立式为主，活动式公共厕所根据实际需求设置，附属式公共厕所按相关规范要求设置；公厕的建筑形式应与周围建筑相协调，标准应不低于二类公厕。</w:t>
      </w:r>
    </w:p>
    <w:p>
      <w:pPr>
        <w:pStyle w:val="5"/>
        <w:spacing w:before="156" w:beforeLines="50" w:after="156" w:afterLines="50"/>
        <w:rPr>
          <w:highlight w:val="none"/>
        </w:rPr>
      </w:pPr>
      <w:bookmarkStart w:id="260" w:name="_Toc27971"/>
      <w:r>
        <w:rPr>
          <w:rFonts w:hint="eastAsia"/>
          <w:highlight w:val="none"/>
        </w:rPr>
        <w:t>韧性安全与防灾减灾体系</w:t>
      </w:r>
      <w:bookmarkEnd w:id="260"/>
    </w:p>
    <w:p>
      <w:pPr>
        <w:pStyle w:val="6"/>
        <w:rPr>
          <w:b w:val="0"/>
          <w:bCs w:val="0"/>
          <w:highlight w:val="none"/>
        </w:rPr>
      </w:pPr>
      <w:bookmarkStart w:id="261" w:name="_Toc15657"/>
      <w:r>
        <w:rPr>
          <w:rFonts w:hint="eastAsia"/>
          <w:b w:val="0"/>
          <w:bCs w:val="0"/>
          <w:highlight w:val="none"/>
        </w:rPr>
        <w:t>防洪排涝规划</w:t>
      </w:r>
      <w:bookmarkEnd w:id="261"/>
    </w:p>
    <w:p>
      <w:pPr>
        <w:rPr>
          <w:highlight w:val="none"/>
        </w:rPr>
      </w:pPr>
      <w:r>
        <w:rPr>
          <w:rFonts w:hint="eastAsia"/>
          <w:highlight w:val="none"/>
        </w:rPr>
        <w:t>落实上级规划下达的洪涝风险控制线任务，风险控制线面积为1112.75公顷，建立科学合理的防洪排涝体系，为洪水滞蓄和行泄预留足够的自然空间。完善马头镇的防洪堤建设，按照规划设防标准加高加固，整治及疏通内部引水和排水河道。加强防汛抗旱减灾建设，提高水利工程防汛抗旱、排涝泄洪能力。</w:t>
      </w:r>
    </w:p>
    <w:p>
      <w:pPr>
        <w:rPr>
          <w:highlight w:val="none"/>
        </w:rPr>
      </w:pPr>
      <w:r>
        <w:rPr>
          <w:highlight w:val="none"/>
        </w:rPr>
        <w:t>镇区按20年一遇标准设防，其他区域10年一遇。排涝标准按20年一遇暴雨不成灾，特殊地区的治涝按保护对象要求确定。对境内水库进行除险加固，提高防洪蓄洪的能力。</w:t>
      </w:r>
    </w:p>
    <w:p>
      <w:pPr>
        <w:rPr>
          <w:highlight w:val="none"/>
        </w:rPr>
      </w:pPr>
      <w:r>
        <w:rPr>
          <w:highlight w:val="none"/>
        </w:rPr>
        <w:t>建立科学合理的防洪排涝体系。加强防汛抗旱减灾建设，提高水利工程防汛抗旱、排涝泄洪能力。加强临时滞洪区建设与管理，提升超标准洪水防御能力。完善</w:t>
      </w:r>
      <w:r>
        <w:rPr>
          <w:rFonts w:hint="eastAsia"/>
          <w:highlight w:val="none"/>
        </w:rPr>
        <w:t>镇</w:t>
      </w:r>
      <w:r>
        <w:rPr>
          <w:highlight w:val="none"/>
        </w:rPr>
        <w:t>区及各</w:t>
      </w:r>
      <w:r>
        <w:rPr>
          <w:rFonts w:hint="eastAsia"/>
          <w:highlight w:val="none"/>
        </w:rPr>
        <w:t>村</w:t>
      </w:r>
      <w:r>
        <w:rPr>
          <w:highlight w:val="none"/>
        </w:rPr>
        <w:t>的防洪堤建设，按照规划设防标准加高加固，整治及疏通内部引水和排水河道。根据上级国土空间规划要求落实洪涝风险控制线，为洪水滞蓄和行泄预留足够的自然空间，提高防洪排涝能力。</w:t>
      </w:r>
    </w:p>
    <w:p>
      <w:pPr>
        <w:pStyle w:val="6"/>
        <w:rPr>
          <w:b w:val="0"/>
          <w:bCs w:val="0"/>
          <w:highlight w:val="none"/>
        </w:rPr>
      </w:pPr>
      <w:bookmarkStart w:id="262" w:name="_Toc18323"/>
      <w:r>
        <w:rPr>
          <w:rFonts w:hint="eastAsia"/>
          <w:b w:val="0"/>
          <w:bCs w:val="0"/>
          <w:highlight w:val="none"/>
        </w:rPr>
        <w:t>消防规划</w:t>
      </w:r>
      <w:bookmarkEnd w:id="262"/>
    </w:p>
    <w:p>
      <w:pPr>
        <w:rPr>
          <w:highlight w:val="none"/>
        </w:rPr>
      </w:pPr>
      <w:r>
        <w:rPr>
          <w:rFonts w:hint="eastAsia"/>
          <w:highlight w:val="none"/>
        </w:rPr>
        <w:t>本次规划本着“因地制宜、布局均衡”的方针，依据每个标准消防站责任区面积为4-7平方公里，消防车辆5分钟内能够到达责任区边缘的原则。马头镇现有1个一级消防站，满足镇区的消防要求。</w:t>
      </w:r>
    </w:p>
    <w:p>
      <w:pPr>
        <w:rPr>
          <w:highlight w:val="none"/>
        </w:rPr>
      </w:pPr>
      <w:r>
        <w:rPr>
          <w:rFonts w:hint="eastAsia"/>
          <w:highlight w:val="none"/>
        </w:rPr>
        <w:t>结合马头镇区总体布局和给水系统的布置，考虑镇域各行政村的需要，可在居住区、商业区集中的地段布置消防水池。规划消防水源以市政自来水和天然水体相结合，镇区道路应按规定的120m间距设置市政消防栓，每个消火栓应设置明显标志。各村庄应修建消防水池，并配备自动泵等基本消防设施。</w:t>
      </w:r>
    </w:p>
    <w:p>
      <w:pPr>
        <w:rPr>
          <w:highlight w:val="none"/>
        </w:rPr>
      </w:pPr>
      <w:r>
        <w:rPr>
          <w:rFonts w:hint="eastAsia"/>
          <w:highlight w:val="none"/>
        </w:rPr>
        <w:t>消防通道规划分为三个等级。一类消防通道：主要满足消防快速出警和远距离增援的需要。由主要的高速、国道、县道以及乡道组成。</w:t>
      </w:r>
    </w:p>
    <w:p>
      <w:pPr>
        <w:rPr>
          <w:highlight w:val="none"/>
        </w:rPr>
      </w:pPr>
      <w:r>
        <w:rPr>
          <w:rFonts w:hint="eastAsia"/>
          <w:highlight w:val="none"/>
        </w:rPr>
        <w:t>二类消防通道：主要担负消防站点责任区内部和临近责任区的消防出警任务，保障消防车的通畅性，由主要道路（干路和次干路）组成。</w:t>
      </w:r>
    </w:p>
    <w:p>
      <w:pPr>
        <w:rPr>
          <w:highlight w:val="none"/>
        </w:rPr>
      </w:pPr>
      <w:r>
        <w:rPr>
          <w:rFonts w:hint="eastAsia"/>
          <w:highlight w:val="none"/>
        </w:rPr>
        <w:t>三类消防通道：主要担负消防车接近火场，为保证灭火和疏散火场人员物资提供通道。由巷路、宅间小路组成。</w:t>
      </w:r>
    </w:p>
    <w:p>
      <w:pPr>
        <w:rPr>
          <w:highlight w:val="none"/>
        </w:rPr>
      </w:pPr>
      <w:r>
        <w:rPr>
          <w:rFonts w:hint="eastAsia"/>
          <w:highlight w:val="none"/>
        </w:rPr>
        <w:t>规划期内建成一个拥有有线通讯系统、图像传输和计算机信息处理控制系统等高科技装备的消防指挥中心以及消防通讯系统，实现火灾接警及指挥调动的自动化。充分利用城镇有线通讯网络，并以它作为火灾报警、接警及消防力量指挥调动的主要通讯手段，并按规定设置火警受理台、119火灾报警专线、报警专用线、调度专用线、报警监听线。建立一个与电信局电话号码配号且计算机联网的计算机系统，增加接警的准确性，并提高对真伪火警的识别能力。</w:t>
      </w:r>
    </w:p>
    <w:p>
      <w:pPr>
        <w:pStyle w:val="6"/>
        <w:rPr>
          <w:b w:val="0"/>
          <w:bCs w:val="0"/>
          <w:highlight w:val="none"/>
        </w:rPr>
      </w:pPr>
      <w:bookmarkStart w:id="263" w:name="_Toc26802"/>
      <w:r>
        <w:rPr>
          <w:rFonts w:hint="eastAsia"/>
          <w:b w:val="0"/>
          <w:bCs w:val="0"/>
          <w:highlight w:val="none"/>
        </w:rPr>
        <w:t>地质灾害防治规划</w:t>
      </w:r>
      <w:bookmarkEnd w:id="263"/>
    </w:p>
    <w:p>
      <w:pPr>
        <w:rPr>
          <w:highlight w:val="none"/>
        </w:rPr>
      </w:pPr>
      <w:r>
        <w:rPr>
          <w:rFonts w:hint="eastAsia"/>
          <w:highlight w:val="none"/>
        </w:rPr>
        <w:t>坚持“以人为本”，以突发性地质灾害防治为重点，兼顾缓变性灾害，以保障社会稳定为主要目的，把地质灾害防治与社会经济发展紧密结合起来，促进经济效益、社会效益和环境效益的协调统一，建立健全地质灾害防治体系。</w:t>
      </w:r>
    </w:p>
    <w:p>
      <w:pPr>
        <w:rPr>
          <w:highlight w:val="none"/>
        </w:rPr>
      </w:pPr>
      <w:r>
        <w:rPr>
          <w:rFonts w:hint="eastAsia"/>
          <w:highlight w:val="none"/>
        </w:rPr>
        <w:t>推进部署开展地质灾害精细化调查评价工作，依据地质灾害风险调查（普查）成果细化地质灾害风险区划和防治区划，完善地质灾害防灾避险台账；建设覆盖全域的地质灾害气象风险预警、专业监测和群测群防结合的监测预警体系；对地质灾害风险区、隐患点实施信息化、网格化管理，增强地质灾害隐患、风险科学管控能力，逐步建立地质灾害隐患、风险双控系统，完善地质灾害群测群防体系。</w:t>
      </w:r>
    </w:p>
    <w:p>
      <w:pPr>
        <w:rPr>
          <w:highlight w:val="none"/>
        </w:rPr>
      </w:pPr>
      <w:r>
        <w:rPr>
          <w:rFonts w:hint="eastAsia"/>
          <w:highlight w:val="none"/>
        </w:rPr>
        <w:t>加快推进地质灾害隐患点综合治理工程，综合运用工程治理、搬迁避险、危旧房改造、应急处置、城乡环境整治等方式分级逐步推进地质灾害隐患点综合治理工作。对滑坡、泥石流、崩塌高风险区综合采用搬迁避让、工程治理、树立警示标志、围挡、生态恢复等多种方式因地制宜制定防治方案。规划至2035年，完成现存地质灾害隐患点治理，基本建成全域高标准地质灾害防治体系。</w:t>
      </w:r>
    </w:p>
    <w:p>
      <w:pPr>
        <w:rPr>
          <w:highlight w:val="none"/>
        </w:rPr>
      </w:pPr>
      <w:r>
        <w:rPr>
          <w:rFonts w:hint="eastAsia"/>
          <w:highlight w:val="none"/>
        </w:rPr>
        <w:t>近期以做好现有地质灾害防治和防止新增人为诱发的地质灾害为目标；远期达到全面提升地质灾害综合防治能力、科学治理消除地质灾害隐患，降低全镇地质灾害发生频率和损失。对地质灾害进行深入排查，并按轻重缓急次序防治，加强国土空间开发利用管控，主要包括地质灾害高易发区、地质灾害中易发区、地质灾害低易发区。</w:t>
      </w:r>
    </w:p>
    <w:p>
      <w:pPr>
        <w:pStyle w:val="6"/>
        <w:rPr>
          <w:b w:val="0"/>
          <w:bCs w:val="0"/>
          <w:highlight w:val="none"/>
        </w:rPr>
      </w:pPr>
      <w:bookmarkStart w:id="264" w:name="_Toc30767"/>
      <w:r>
        <w:rPr>
          <w:rFonts w:hint="eastAsia"/>
          <w:b w:val="0"/>
          <w:bCs w:val="0"/>
          <w:highlight w:val="none"/>
        </w:rPr>
        <w:t>人防规划</w:t>
      </w:r>
      <w:bookmarkEnd w:id="264"/>
    </w:p>
    <w:p>
      <w:pPr>
        <w:rPr>
          <w:highlight w:val="none"/>
        </w:rPr>
      </w:pPr>
      <w:r>
        <w:rPr>
          <w:rFonts w:hint="eastAsia"/>
          <w:highlight w:val="none"/>
        </w:rPr>
        <w:t>人防防护人口疏散比例占总人口数60%，工程建设按战时留城人员每人1.0平方米，设人防指挥所1处，严格按照相关规划要求建设疏散场地。充分利用镇村空余场地，因地制宜推进兼顾灾时应急避难场所建设。在人民防空法律法规及文件规定许可前提下，落实人防工程配置、人防警报和人防疏散设施设置等人防建设要求”。</w:t>
      </w:r>
    </w:p>
    <w:p>
      <w:pPr>
        <w:pStyle w:val="6"/>
        <w:rPr>
          <w:b w:val="0"/>
          <w:bCs w:val="0"/>
          <w:highlight w:val="none"/>
        </w:rPr>
      </w:pPr>
      <w:bookmarkStart w:id="265" w:name="_Toc5463"/>
      <w:r>
        <w:rPr>
          <w:rFonts w:hint="eastAsia"/>
          <w:b w:val="0"/>
          <w:bCs w:val="0"/>
          <w:highlight w:val="none"/>
        </w:rPr>
        <w:t>抗震规划</w:t>
      </w:r>
      <w:bookmarkEnd w:id="265"/>
    </w:p>
    <w:p>
      <w:pPr>
        <w:rPr>
          <w:highlight w:val="none"/>
        </w:rPr>
      </w:pPr>
      <w:r>
        <w:rPr>
          <w:rFonts w:hint="eastAsia"/>
          <w:highlight w:val="none"/>
        </w:rPr>
        <w:t>根据《中国地震动参数区划图》（GB18306-2015），马头镇一般性建设工程抗震设防烈度应为VI度，Ⅱ类场地基本地震动峰值加速度0.05g。新建、改建、扩建的重大建设工程和可能发生严重次生灾害的重要建设工程，应严格按照《建筑工程抗震设防分类标准》（GB50223</w:t>
      </w:r>
      <w:r>
        <w:rPr>
          <w:highlight w:val="none"/>
        </w:rPr>
        <w:t>-</w:t>
      </w:r>
      <w:r>
        <w:rPr>
          <w:rFonts w:hint="eastAsia"/>
          <w:highlight w:val="none"/>
        </w:rPr>
        <w:t>2008）要求，采取相应提高抗震能力的措施。新建、改建、扩建的需开展地震安全性评价的建设工程必须按照相关法律法规要求进行地震安全性评价，并按照审定的抗震设防要求进行抗震设防，逐步提高马头镇综合抗震防灾能力。</w:t>
      </w:r>
    </w:p>
    <w:p>
      <w:pPr>
        <w:widowControl/>
        <w:jc w:val="left"/>
        <w:rPr>
          <w:highlight w:val="none"/>
        </w:rPr>
      </w:pPr>
      <w:r>
        <w:rPr>
          <w:rFonts w:hint="eastAsia"/>
          <w:highlight w:val="none"/>
        </w:rPr>
        <w:t>落实《广东省韶关市新丰县自然灾害综合风险评估与区划成果技术报告》的相关要求，加强马头镇灾害备灾能力（物资储备能力、医疗保障能力）的提升；自救转移能力（自救互救能力、公众避险能力、转移安置能力）的提升。强化地震、地质灾害的应急预案评估。加强预案内容审核和预案衔接把关，增强预案体系整体性、协调性、实效性；实化细化指挥长和各有关部门及相关单位的具体责任、应答机制、行动措施，加强应急演练磨合和日常检查</w:t>
      </w:r>
    </w:p>
    <w:p>
      <w:pPr>
        <w:pStyle w:val="6"/>
        <w:rPr>
          <w:b w:val="0"/>
          <w:bCs w:val="0"/>
          <w:highlight w:val="none"/>
        </w:rPr>
      </w:pPr>
      <w:bookmarkStart w:id="266" w:name="_Toc11893"/>
      <w:r>
        <w:rPr>
          <w:rFonts w:hint="eastAsia"/>
          <w:b w:val="0"/>
          <w:bCs w:val="0"/>
          <w:highlight w:val="none"/>
        </w:rPr>
        <w:t>提升公共安全应急能力</w:t>
      </w:r>
      <w:bookmarkEnd w:id="266"/>
    </w:p>
    <w:p>
      <w:pPr>
        <w:rPr>
          <w:highlight w:val="none"/>
        </w:rPr>
      </w:pPr>
      <w:r>
        <w:rPr>
          <w:rFonts w:hint="eastAsia"/>
          <w:highlight w:val="none"/>
        </w:rPr>
        <w:t>完善应急指挥系统，健全镇应急救灾指挥机构，提高防灾减灾救灾和重大突发公共事件处置保障能力。优化卫生防疫设施布局，结合公园绿地、生态空间建设完善区域开敞空间系统，推进“平急两用”公共基础设施建设，提升应对突发公共卫生事件的能力。</w:t>
      </w:r>
    </w:p>
    <w:p>
      <w:pPr>
        <w:pStyle w:val="6"/>
        <w:rPr>
          <w:b w:val="0"/>
          <w:bCs w:val="0"/>
          <w:highlight w:val="none"/>
        </w:rPr>
      </w:pPr>
      <w:bookmarkStart w:id="267" w:name="_Toc22282"/>
      <w:r>
        <w:rPr>
          <w:rFonts w:hint="eastAsia"/>
          <w:b w:val="0"/>
          <w:bCs w:val="0"/>
          <w:highlight w:val="none"/>
        </w:rPr>
        <w:t>危险化学品管控</w:t>
      </w:r>
      <w:bookmarkEnd w:id="267"/>
    </w:p>
    <w:p>
      <w:pPr>
        <w:rPr>
          <w:highlight w:val="none"/>
        </w:rPr>
      </w:pPr>
      <w:r>
        <w:rPr>
          <w:rFonts w:hint="eastAsia"/>
          <w:highlight w:val="none"/>
        </w:rPr>
        <w:t>严格按照国家和省的政策规定和文件要求，做好化工园区的建设、认定和管理工作，持续推进现有化工园区安全整治和条件提升，按照标准严格控制马头园与镇区安全防护距离。</w:t>
      </w:r>
    </w:p>
    <w:p>
      <w:pPr>
        <w:rPr>
          <w:highlight w:val="none"/>
        </w:rPr>
      </w:pPr>
      <w:r>
        <w:rPr>
          <w:rFonts w:hint="eastAsia"/>
          <w:highlight w:val="none"/>
        </w:rPr>
        <w:t>加强易燃易爆、危险化学品、危险货物堆场、输油输气等重点行业、重点领域安全监管，禁止在安全防护距离内布局商业、居住、公共服务等设施，对不符合安全防护距离要求的危险化学品生产企业进行改造达标、搬迁或关闭退出。现阶段暂不具备搬迁条件的危险化学品生产、仓储、运输企业，结合区域位置、发展规划、规划环评、安全评价等规定和要求，进行外部安全防护距离评估，预留相应的安全防护空间。</w:t>
      </w:r>
    </w:p>
    <w:p>
      <w:pPr>
        <w:pStyle w:val="6"/>
        <w:rPr>
          <w:b w:val="0"/>
          <w:bCs w:val="0"/>
          <w:highlight w:val="none"/>
        </w:rPr>
      </w:pPr>
      <w:bookmarkStart w:id="268" w:name="_Toc28781"/>
      <w:r>
        <w:rPr>
          <w:rFonts w:hint="eastAsia"/>
          <w:b w:val="0"/>
          <w:bCs w:val="0"/>
          <w:highlight w:val="none"/>
        </w:rPr>
        <w:t>落实化工园区安全控制线</w:t>
      </w:r>
      <w:bookmarkEnd w:id="268"/>
    </w:p>
    <w:p>
      <w:pPr>
        <w:widowControl/>
        <w:jc w:val="left"/>
        <w:rPr>
          <w:highlight w:val="none"/>
        </w:rPr>
      </w:pPr>
      <w:r>
        <w:rPr>
          <w:rFonts w:hint="eastAsia"/>
          <w:highlight w:val="none"/>
          <w:lang w:bidi="ar"/>
        </w:rPr>
        <w:t>落实《新丰县环保涂料产基地总体规划（2022—2035年）》安全控制线划定成果，基于环保涂料产基地规划范围向外延伸</w:t>
      </w:r>
      <w:r>
        <w:rPr>
          <w:highlight w:val="none"/>
          <w:lang w:bidi="ar"/>
        </w:rPr>
        <w:t xml:space="preserve">140米。安全控制线范围内的建设应满足以下规定： </w:t>
      </w:r>
    </w:p>
    <w:p>
      <w:pPr>
        <w:widowControl/>
        <w:jc w:val="left"/>
        <w:rPr>
          <w:highlight w:val="none"/>
        </w:rPr>
      </w:pPr>
      <w:r>
        <w:rPr>
          <w:rFonts w:hint="eastAsia"/>
          <w:highlight w:val="none"/>
          <w:lang w:bidi="ar"/>
        </w:rPr>
        <w:t>新丰县环保涂料产业基地外、安全控制线划定方案范围内，目前尚有少量居民区等防护目标。产业基地未来引进新项目时，应进行风险评估，重点考虑无法搬迁的居民区等防护目标，确保满足风险和外部安全防护距离的要求，否则不得建设项目。</w:t>
      </w:r>
    </w:p>
    <w:p>
      <w:pPr>
        <w:widowControl/>
        <w:jc w:val="left"/>
        <w:rPr>
          <w:highlight w:val="none"/>
          <w:lang w:bidi="ar"/>
        </w:rPr>
      </w:pPr>
      <w:r>
        <w:rPr>
          <w:rFonts w:hint="eastAsia"/>
          <w:highlight w:val="none"/>
          <w:lang w:bidi="ar"/>
        </w:rPr>
        <w:t>安全控制线内禁止建设高敏感防护目标、重要防护目标和一般防护目标中的一类防护目标，安全控制线内未来新建、改建和扩建的其他项目，应经过安全风险评估，满足安全风险控制（包括防火间距）的要求，方可建设。</w:t>
      </w:r>
    </w:p>
    <w:p>
      <w:pPr>
        <w:widowControl/>
        <w:jc w:val="left"/>
        <w:rPr>
          <w:highlight w:val="none"/>
        </w:rPr>
      </w:pPr>
      <w:r>
        <w:rPr>
          <w:rFonts w:hint="eastAsia"/>
          <w:highlight w:val="none"/>
          <w:lang w:bidi="ar"/>
        </w:rPr>
        <w:t>此外，安全控制线应按照《广东省化工园区安全整治提升工作方案》的要求，实行动态控制，化工园区应在开展整体性安全风险评估后或在化工产业功能区发生如园区总体规划调整、化工产业功能区范围调整、园区安全风险发生重大变化等时，及时更新化工园区周边土地规划安全控制线，提出安全风险控制要求。</w:t>
      </w:r>
      <w:r>
        <w:rPr>
          <w:highlight w:val="none"/>
          <w:lang w:bidi="ar"/>
        </w:rPr>
        <w:t xml:space="preserve"> </w:t>
      </w:r>
    </w:p>
    <w:p>
      <w:pPr>
        <w:ind w:left="440"/>
        <w:rPr>
          <w:highlight w:val="none"/>
        </w:rPr>
      </w:pPr>
      <w:r>
        <w:rPr>
          <w:rFonts w:hint="eastAsia"/>
          <w:highlight w:val="none"/>
        </w:rPr>
        <w:br w:type="page"/>
      </w:r>
    </w:p>
    <w:p>
      <w:pPr>
        <w:pStyle w:val="4"/>
        <w:numPr>
          <w:ilvl w:val="0"/>
          <w:numId w:val="5"/>
        </w:numPr>
        <w:spacing w:before="312" w:after="312"/>
        <w:ind w:left="0" w:firstLine="0"/>
        <w:rPr>
          <w:b w:val="0"/>
          <w:bCs w:val="0"/>
          <w:highlight w:val="none"/>
        </w:rPr>
      </w:pPr>
      <w:bookmarkStart w:id="269" w:name="_Toc24076"/>
      <w:r>
        <w:rPr>
          <w:rFonts w:hint="eastAsia"/>
          <w:b w:val="0"/>
          <w:bCs w:val="0"/>
          <w:highlight w:val="none"/>
        </w:rPr>
        <w:t>国土修复整治与存量更新</w:t>
      </w:r>
      <w:bookmarkEnd w:id="269"/>
    </w:p>
    <w:p>
      <w:pPr>
        <w:pStyle w:val="5"/>
        <w:numPr>
          <w:ilvl w:val="0"/>
          <w:numId w:val="8"/>
        </w:numPr>
        <w:spacing w:before="156" w:beforeLines="50" w:after="156" w:afterLines="50"/>
        <w:rPr>
          <w:highlight w:val="none"/>
        </w:rPr>
      </w:pPr>
      <w:bookmarkStart w:id="270" w:name="_Toc20043"/>
      <w:r>
        <w:rPr>
          <w:rFonts w:hint="eastAsia"/>
          <w:highlight w:val="none"/>
        </w:rPr>
        <w:t>开展生态系统修复</w:t>
      </w:r>
      <w:bookmarkEnd w:id="270"/>
    </w:p>
    <w:p>
      <w:pPr>
        <w:pStyle w:val="6"/>
        <w:ind w:left="0"/>
        <w:rPr>
          <w:rFonts w:cs="黑体"/>
          <w:b w:val="0"/>
          <w:bCs w:val="0"/>
          <w:szCs w:val="31"/>
          <w:highlight w:val="none"/>
        </w:rPr>
      </w:pPr>
      <w:bookmarkStart w:id="271" w:name="_Toc145924837"/>
      <w:bookmarkStart w:id="272" w:name="_Toc24300"/>
      <w:r>
        <w:rPr>
          <w:rFonts w:hint="eastAsia" w:cs="黑体"/>
          <w:b w:val="0"/>
          <w:bCs w:val="0"/>
          <w:szCs w:val="31"/>
          <w:highlight w:val="none"/>
        </w:rPr>
        <w:t>生态保护修复</w:t>
      </w:r>
      <w:bookmarkEnd w:id="271"/>
      <w:r>
        <w:rPr>
          <w:rFonts w:hint="eastAsia" w:cs="黑体"/>
          <w:b w:val="0"/>
          <w:bCs w:val="0"/>
          <w:szCs w:val="31"/>
          <w:highlight w:val="none"/>
        </w:rPr>
        <w:t>治理</w:t>
      </w:r>
      <w:bookmarkEnd w:id="272"/>
    </w:p>
    <w:p>
      <w:pPr>
        <w:rPr>
          <w:highlight w:val="none"/>
        </w:rPr>
      </w:pPr>
      <w:r>
        <w:rPr>
          <w:rFonts w:hint="eastAsia"/>
          <w:highlight w:val="none"/>
        </w:rPr>
        <w:t>开展山水林田湖草的保护修复工程与矿山生态综合修复工程，高水平实现全域生态系统功能的修复与保护，以新丰江、羌坑河及鲁古河自然保护区等主要水系及自然保护区为核心，分析江河湖、山体山脉、农田等资源分布格局，综合确定生态保护修复重点。建立生态保护修复动态监测与风险评估管理机制，对生态保护修复工程要开展日常监测。</w:t>
      </w:r>
    </w:p>
    <w:p>
      <w:pPr>
        <w:pStyle w:val="6"/>
        <w:rPr>
          <w:b w:val="0"/>
          <w:bCs w:val="0"/>
          <w:highlight w:val="none"/>
        </w:rPr>
      </w:pPr>
      <w:bookmarkStart w:id="273" w:name="_Toc12616"/>
      <w:bookmarkStart w:id="274" w:name="_Toc12098"/>
      <w:bookmarkStart w:id="275" w:name="_Toc31826"/>
      <w:bookmarkStart w:id="276" w:name="_Toc9100"/>
      <w:bookmarkStart w:id="277" w:name="_Toc8927"/>
      <w:r>
        <w:rPr>
          <w:rFonts w:hint="eastAsia" w:cs="黑体"/>
          <w:b w:val="0"/>
          <w:bCs w:val="0"/>
          <w:szCs w:val="31"/>
          <w:highlight w:val="none"/>
        </w:rPr>
        <w:t>分类推进</w:t>
      </w:r>
      <w:r>
        <w:rPr>
          <w:rFonts w:hint="eastAsia"/>
          <w:b w:val="0"/>
          <w:bCs w:val="0"/>
          <w:highlight w:val="none"/>
        </w:rPr>
        <w:t>生态修复</w:t>
      </w:r>
      <w:bookmarkEnd w:id="273"/>
      <w:bookmarkEnd w:id="274"/>
      <w:bookmarkEnd w:id="275"/>
      <w:bookmarkEnd w:id="276"/>
      <w:r>
        <w:rPr>
          <w:rFonts w:hint="eastAsia"/>
          <w:b w:val="0"/>
          <w:bCs w:val="0"/>
          <w:highlight w:val="none"/>
        </w:rPr>
        <w:t>工程</w:t>
      </w:r>
      <w:bookmarkEnd w:id="277"/>
    </w:p>
    <w:p>
      <w:pPr>
        <w:rPr>
          <w:highlight w:val="none"/>
        </w:rPr>
      </w:pPr>
      <w:r>
        <w:rPr>
          <w:rFonts w:hint="eastAsia"/>
          <w:highlight w:val="none"/>
        </w:rPr>
        <w:t>生态保护修复重点工程包括造林绿化重点工程、水资源与水环境综合整治重点工程和矿山生态修复重点工程。</w:t>
      </w:r>
    </w:p>
    <w:p>
      <w:pPr>
        <w:rPr>
          <w:highlight w:val="none"/>
        </w:rPr>
      </w:pPr>
      <w:r>
        <w:rPr>
          <w:rFonts w:hint="eastAsia"/>
          <w:highlight w:val="none"/>
        </w:rPr>
        <w:t>水环境生态修复重点区以新丰江源头水保护区、鲁古河水库农业用水区等为重点，推进重要河流、水库的水生态修复工程，加强重金属污染防控、水土保持，保障水生态安全。以及建设工业园区亿美至羌坑河的排洪渠，完成圩镇湖塘新村及周边雨污分流管网建设，对羌坑河雅盖村至湖塘桥河段进行河道清理改造，完善岸边基础设施美化绿化。</w:t>
      </w:r>
    </w:p>
    <w:p>
      <w:pPr>
        <w:widowControl/>
        <w:jc w:val="left"/>
        <w:rPr>
          <w:highlight w:val="none"/>
        </w:rPr>
      </w:pPr>
      <w:r>
        <w:rPr>
          <w:rFonts w:hint="eastAsia"/>
          <w:highlight w:val="none"/>
        </w:rPr>
        <w:t>深入推进绿美广东生态建设，巩固林业生态建设成果，精准提升森林质量，以“绿美新丰”建设助力构建绿美韶关生态建设新格局。造林绿化重点包括地方公益林建设，落实上位规划划示的生态公益林等集中保护区，明确保护措施，并明确造林绿化空间406.08公顷。对马头镇区域内进行修山扩林，通过“分区增量，分期提质”，恢复补充生态公益林，达到生态保护屏障的效果，提升整体森林生态景观。</w:t>
      </w:r>
    </w:p>
    <w:p>
      <w:pPr>
        <w:widowControl/>
        <w:jc w:val="left"/>
        <w:rPr>
          <w:highlight w:val="none"/>
        </w:rPr>
      </w:pPr>
      <w:r>
        <w:rPr>
          <w:rFonts w:hint="eastAsia"/>
          <w:highlight w:val="none"/>
        </w:rPr>
        <w:t>大席铁帽顶矿山生态修复重点区，重点恢复在采矿山周边区域的生态环境，消除地灾隐患，包括清除危石、降坡削坡土地平整，通过覆土种植、崖壁修整、石缝固土种植等方式进行植被恢复，确保矿山废弃地内无废水、废渣、废气等污染源产生，已产生的污染可采取降低污染物流动性的方式治理。</w:t>
      </w:r>
    </w:p>
    <w:p>
      <w:pPr>
        <w:pStyle w:val="5"/>
        <w:numPr>
          <w:ilvl w:val="0"/>
          <w:numId w:val="8"/>
        </w:numPr>
        <w:spacing w:before="156" w:beforeLines="50" w:after="156" w:afterLines="50"/>
        <w:rPr>
          <w:highlight w:val="none"/>
        </w:rPr>
      </w:pPr>
      <w:bookmarkStart w:id="278" w:name="_Toc20651"/>
      <w:r>
        <w:rPr>
          <w:rFonts w:hint="eastAsia"/>
          <w:highlight w:val="none"/>
        </w:rPr>
        <w:t>实施</w:t>
      </w:r>
      <w:r>
        <w:rPr>
          <w:highlight w:val="none"/>
        </w:rPr>
        <w:t>国土</w:t>
      </w:r>
      <w:r>
        <w:rPr>
          <w:rFonts w:hint="eastAsia"/>
          <w:highlight w:val="none"/>
        </w:rPr>
        <w:t>综合整治</w:t>
      </w:r>
      <w:bookmarkEnd w:id="278"/>
    </w:p>
    <w:p>
      <w:pPr>
        <w:pStyle w:val="6"/>
        <w:rPr>
          <w:b w:val="0"/>
          <w:bCs w:val="0"/>
          <w:highlight w:val="none"/>
        </w:rPr>
      </w:pPr>
      <w:bookmarkStart w:id="279" w:name="_Toc145924841"/>
      <w:bookmarkStart w:id="280" w:name="_Toc29475"/>
      <w:bookmarkStart w:id="281" w:name="_Toc5421"/>
      <w:bookmarkStart w:id="282" w:name="_Toc1761"/>
      <w:bookmarkStart w:id="283" w:name="_Toc12292"/>
      <w:bookmarkStart w:id="284" w:name="_Toc7064"/>
      <w:bookmarkStart w:id="285" w:name="_Toc18389"/>
      <w:r>
        <w:rPr>
          <w:rFonts w:hint="eastAsia"/>
          <w:b w:val="0"/>
          <w:bCs w:val="0"/>
          <w:highlight w:val="none"/>
        </w:rPr>
        <w:t>国土综合整治</w:t>
      </w:r>
      <w:bookmarkEnd w:id="279"/>
      <w:bookmarkEnd w:id="280"/>
    </w:p>
    <w:p>
      <w:pPr>
        <w:rPr>
          <w:highlight w:val="none"/>
        </w:rPr>
      </w:pPr>
      <w:r>
        <w:rPr>
          <w:rFonts w:hint="eastAsia"/>
          <w:highlight w:val="none"/>
        </w:rPr>
        <w:t>通过开展城乡建设用地、农用地等全域土地综合整治，实现马头镇用地布局优化调整，为镇域经济发展腾挪建设用地，改善区域环境。实施农用地综合整治，通过农用地整理补充耕地、高标准农田建设、宜耕后备耕地资源开发复垦等手段，提高耕地数量与质量，促进农业规模化经营和现代化发展。开展建设用地综合整治，通过拆旧复垦、村庄建设用地腾挪等手段，建设美丽乡村。积极推进“三旧”用地综合整治，为城乡发展腾挪建设用地，实现土地节约集约利用。</w:t>
      </w:r>
    </w:p>
    <w:p>
      <w:pPr>
        <w:pStyle w:val="6"/>
        <w:rPr>
          <w:b w:val="0"/>
          <w:bCs w:val="0"/>
          <w:highlight w:val="none"/>
        </w:rPr>
      </w:pPr>
      <w:r>
        <w:rPr>
          <w:rFonts w:hint="eastAsia"/>
          <w:b w:val="0"/>
          <w:bCs w:val="0"/>
          <w:highlight w:val="none"/>
        </w:rPr>
        <w:t>农用地整理</w:t>
      </w:r>
    </w:p>
    <w:p>
      <w:pPr>
        <w:rPr>
          <w:highlight w:val="none"/>
        </w:rPr>
      </w:pPr>
      <w:r>
        <w:rPr>
          <w:rFonts w:hint="eastAsia"/>
          <w:highlight w:val="none"/>
        </w:rPr>
        <w:t>把严守耕地红线、保障粮食安全作为首要任务，加快高标准农田建设，统筹农业生态基础设施、现有耕地提质改造、低效林草地和园地整理、宜耕后备资源开发等建设，在优化耕地布局、降低耕地细碎化程度，增加耕地面积、提高耕地质量的同时，挖掘和传承农耕文化，提升农用地生态功能，保护和改善农田生态系统。规划至2035年，完成上级下达农用地综合整治任务。</w:t>
      </w:r>
    </w:p>
    <w:p>
      <w:pPr>
        <w:rPr>
          <w:highlight w:val="none"/>
        </w:rPr>
      </w:pPr>
      <w:r>
        <w:rPr>
          <w:rFonts w:hint="eastAsia"/>
          <w:color w:val="000000" w:themeColor="text1"/>
          <w:szCs w:val="24"/>
          <w:highlight w:val="none"/>
          <w14:textFill>
            <w14:solidFill>
              <w14:schemeClr w14:val="tx1"/>
            </w14:solidFill>
          </w14:textFill>
        </w:rPr>
        <w:t>统筹推进</w:t>
      </w:r>
      <w:r>
        <w:rPr>
          <w:rFonts w:hint="eastAsia"/>
          <w:color w:val="000000" w:themeColor="text1"/>
          <w:szCs w:val="24"/>
          <w:highlight w:val="none"/>
          <w:lang w:eastAsia="zh-CN"/>
          <w14:textFill>
            <w14:solidFill>
              <w14:schemeClr w14:val="tx1"/>
            </w14:solidFill>
          </w14:textFill>
        </w:rPr>
        <w:t>姜坑</w:t>
      </w:r>
      <w:r>
        <w:rPr>
          <w:rFonts w:hint="eastAsia"/>
          <w:color w:val="000000" w:themeColor="text1"/>
          <w:szCs w:val="24"/>
          <w:highlight w:val="none"/>
          <w14:textFill>
            <w14:solidFill>
              <w14:schemeClr w14:val="tx1"/>
            </w14:solidFill>
          </w14:textFill>
        </w:rPr>
        <w:t>村、板岭下村废弃坑塘整理、垦造水田、</w:t>
      </w:r>
      <w:r>
        <w:rPr>
          <w:color w:val="000000" w:themeColor="text1"/>
          <w:szCs w:val="24"/>
          <w:highlight w:val="none"/>
          <w14:textFill>
            <w14:solidFill>
              <w14:schemeClr w14:val="tx1"/>
            </w14:solidFill>
          </w14:textFill>
        </w:rPr>
        <w:t>现有耕地提质改造、宜耕后备资源开发、零星农田整合、高标准农田建设、耕地恢复等，在确保耕地数量有增加、质量有提升、生态有改善的前提下，不断优化耕地布局，提高耕地质量和连片度。</w:t>
      </w:r>
    </w:p>
    <w:p>
      <w:pPr>
        <w:pStyle w:val="6"/>
        <w:rPr>
          <w:b w:val="0"/>
          <w:bCs w:val="0"/>
          <w:highlight w:val="none"/>
        </w:rPr>
      </w:pPr>
      <w:bookmarkStart w:id="286" w:name="_Toc20276"/>
      <w:bookmarkStart w:id="287" w:name="_Toc26303"/>
      <w:bookmarkStart w:id="288" w:name="_Toc21456"/>
      <w:bookmarkStart w:id="289" w:name="_Toc21393"/>
      <w:bookmarkStart w:id="290" w:name="_Toc10709"/>
      <w:bookmarkStart w:id="291" w:name="_Toc26121"/>
      <w:r>
        <w:rPr>
          <w:rFonts w:hint="eastAsia"/>
          <w:b w:val="0"/>
          <w:bCs w:val="0"/>
          <w:highlight w:val="none"/>
        </w:rPr>
        <w:t>建设用地</w:t>
      </w:r>
      <w:bookmarkEnd w:id="286"/>
      <w:r>
        <w:rPr>
          <w:rFonts w:hint="eastAsia"/>
          <w:b w:val="0"/>
          <w:bCs w:val="0"/>
          <w:highlight w:val="none"/>
        </w:rPr>
        <w:t>整理</w:t>
      </w:r>
      <w:bookmarkEnd w:id="287"/>
      <w:bookmarkEnd w:id="288"/>
      <w:bookmarkEnd w:id="289"/>
      <w:bookmarkEnd w:id="290"/>
      <w:bookmarkEnd w:id="291"/>
    </w:p>
    <w:p>
      <w:pP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加快批而未供、闲置土地处置。严格落实建设用地“增存挂</w:t>
      </w:r>
      <w:r>
        <w:rPr>
          <w:color w:val="000000" w:themeColor="text1"/>
          <w:szCs w:val="24"/>
          <w:highlight w:val="none"/>
          <w14:textFill>
            <w14:solidFill>
              <w14:schemeClr w14:val="tx1"/>
            </w14:solidFill>
          </w14:textFill>
        </w:rPr>
        <w:t>钩”机制，加快推进批而未供和闲置土地处置工作，促进存量用地空间腾挪与建设用地布局优化。建立存量用地处置台账，妥善处理历史遗留问题，严格落实主体责任，加大各部门之间联合执法力度。建立建设用地批后监管制度，避免新增存量用地。通过</w:t>
      </w:r>
      <w:r>
        <w:rPr>
          <w:rFonts w:hint="eastAsia"/>
          <w:color w:val="000000" w:themeColor="text1"/>
          <w:szCs w:val="24"/>
          <w:highlight w:val="none"/>
          <w14:textFill>
            <w14:solidFill>
              <w14:schemeClr w14:val="tx1"/>
            </w14:solidFill>
          </w14:textFill>
        </w:rPr>
        <w:t>批而未供和闲置土地的处置将腾挪的规模优先用于保障重大产业项目的发展。</w:t>
      </w:r>
    </w:p>
    <w:p>
      <w:pP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深入推进城镇低效用地再开发，主要为马头镇镇区。强化规划统筹和再开发管控，</w:t>
      </w:r>
      <w:r>
        <w:rPr>
          <w:color w:val="000000" w:themeColor="text1"/>
          <w:szCs w:val="24"/>
          <w:highlight w:val="none"/>
          <w14:textFill>
            <w14:solidFill>
              <w14:schemeClr w14:val="tx1"/>
            </w14:solidFill>
          </w14:textFill>
        </w:rPr>
        <w:t>分区引导低效存量用地再开发，衔接落实“三区三线”划定成果，支持旧城镇整体改造，允许通过政府补助、异地安置、容积率异地补偿等方式进行区域平衡，推动解决旧城镇改造项目拆迁成本高、利益难平衡的问题。鼓励要求合理安排一定比例用地，用于基础设施、市政设施、公益事业等公共设施建设，并加强历史文化保护，实现经济、社会、文化及生态等综合效益。</w:t>
      </w:r>
    </w:p>
    <w:p>
      <w:pP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稳妥推进旧城镇、旧村庄有机更新。加强规划引导，科学编制改造建设计划，分区分批分步骤生成旧城镇、旧村庄改造治理项目。推动改革创新，逐步实现城乡空间布局优化、产业转型升级、居住环境和条件改善，提升公共配套水平，提高基础系统支撑能力与安全保障能力，实现城乡多元、系统、有机更新，促进马头镇的有秩序、高品质、可持续发展。</w:t>
      </w:r>
    </w:p>
    <w:p>
      <w:pPr>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br w:type="page"/>
      </w:r>
    </w:p>
    <w:p>
      <w:pPr>
        <w:pStyle w:val="4"/>
        <w:numPr>
          <w:ilvl w:val="0"/>
          <w:numId w:val="5"/>
        </w:numPr>
        <w:spacing w:before="312" w:after="312"/>
        <w:ind w:left="0" w:firstLine="0"/>
        <w:rPr>
          <w:b w:val="0"/>
          <w:bCs w:val="0"/>
          <w:highlight w:val="none"/>
        </w:rPr>
      </w:pPr>
      <w:bookmarkStart w:id="292" w:name="_Toc19840"/>
      <w:bookmarkStart w:id="293" w:name="_Toc10354"/>
      <w:r>
        <w:rPr>
          <w:rFonts w:hint="eastAsia"/>
          <w:b w:val="0"/>
          <w:bCs w:val="0"/>
          <w:highlight w:val="none"/>
        </w:rPr>
        <w:t>镇区规划</w:t>
      </w:r>
      <w:bookmarkEnd w:id="292"/>
    </w:p>
    <w:p>
      <w:pPr>
        <w:pStyle w:val="5"/>
        <w:numPr>
          <w:ilvl w:val="0"/>
          <w:numId w:val="9"/>
        </w:numPr>
        <w:spacing w:before="156" w:beforeLines="50" w:after="156" w:afterLines="50"/>
        <w:rPr>
          <w:highlight w:val="none"/>
        </w:rPr>
      </w:pPr>
      <w:bookmarkStart w:id="294" w:name="_Toc6274"/>
      <w:r>
        <w:rPr>
          <w:highlight w:val="none"/>
        </w:rPr>
        <w:t>空间布局优化</w:t>
      </w:r>
      <w:bookmarkEnd w:id="294"/>
    </w:p>
    <w:p>
      <w:pPr>
        <w:pStyle w:val="6"/>
        <w:rPr>
          <w:b w:val="0"/>
          <w:bCs w:val="0"/>
          <w:highlight w:val="none"/>
        </w:rPr>
      </w:pPr>
      <w:bookmarkStart w:id="295" w:name="_Toc19710"/>
      <w:r>
        <w:rPr>
          <w:rFonts w:hint="eastAsia"/>
          <w:b w:val="0"/>
          <w:bCs w:val="0"/>
          <w:highlight w:val="none"/>
        </w:rPr>
        <w:t>镇区空间结构优化</w:t>
      </w:r>
      <w:bookmarkEnd w:id="295"/>
    </w:p>
    <w:p>
      <w:pPr>
        <w:rPr>
          <w:highlight w:val="none"/>
        </w:rPr>
      </w:pPr>
      <w:r>
        <w:rPr>
          <w:rFonts w:hint="eastAsia"/>
          <w:highlight w:val="none"/>
        </w:rPr>
        <w:t>规划构建“一核两轴两带五片区”的空间结构。</w:t>
      </w:r>
    </w:p>
    <w:p>
      <w:pPr>
        <w:rPr>
          <w:highlight w:val="none"/>
        </w:rPr>
      </w:pPr>
      <w:r>
        <w:rPr>
          <w:rFonts w:hint="eastAsia"/>
          <w:highlight w:val="none"/>
        </w:rPr>
        <w:t>“一核”：行政文化中心。由马头镇人民政府行政办公中心和马头镇文化中心等所在区域。</w:t>
      </w:r>
    </w:p>
    <w:p>
      <w:pPr>
        <w:rPr>
          <w:highlight w:val="none"/>
        </w:rPr>
      </w:pPr>
      <w:r>
        <w:rPr>
          <w:rFonts w:hint="eastAsia"/>
          <w:highlight w:val="none"/>
        </w:rPr>
        <w:t>“两轴”：沿主要交通廊道形成的105国道发展轴、县道发展轴。</w:t>
      </w:r>
    </w:p>
    <w:p>
      <w:pPr>
        <w:rPr>
          <w:highlight w:val="none"/>
        </w:rPr>
      </w:pPr>
      <w:r>
        <w:rPr>
          <w:rFonts w:hint="eastAsia"/>
          <w:highlight w:val="none"/>
        </w:rPr>
        <w:t>“两带”：新丰江景观带、羌坑河景观带。</w:t>
      </w:r>
    </w:p>
    <w:p>
      <w:pPr>
        <w:rPr>
          <w:highlight w:val="none"/>
        </w:rPr>
      </w:pPr>
      <w:r>
        <w:rPr>
          <w:rFonts w:hint="eastAsia"/>
          <w:highlight w:val="none"/>
        </w:rPr>
        <w:t>“五片”：综合服务片区、工业片区、滨江商业片区、后山生态片区、农田景观片区。</w:t>
      </w:r>
    </w:p>
    <w:p>
      <w:pPr>
        <w:rPr>
          <w:highlight w:val="none"/>
        </w:rPr>
      </w:pPr>
      <w:r>
        <w:rPr>
          <w:rFonts w:hint="eastAsia"/>
          <w:highlight w:val="none"/>
        </w:rPr>
        <w:t>综合服务片区</w:t>
      </w:r>
      <w:r>
        <w:rPr>
          <w:highlight w:val="none"/>
        </w:rPr>
        <w:t>，以居住和综合商贸服务功能为主。改善旧城</w:t>
      </w:r>
      <w:r>
        <w:rPr>
          <w:rFonts w:hint="eastAsia"/>
          <w:highlight w:val="none"/>
        </w:rPr>
        <w:t>镇</w:t>
      </w:r>
      <w:r>
        <w:rPr>
          <w:highlight w:val="none"/>
        </w:rPr>
        <w:t>空间环境和景观风貌，提升综合服务能力和城</w:t>
      </w:r>
      <w:r>
        <w:rPr>
          <w:rFonts w:hint="eastAsia"/>
          <w:highlight w:val="none"/>
        </w:rPr>
        <w:t>镇</w:t>
      </w:r>
      <w:r>
        <w:rPr>
          <w:highlight w:val="none"/>
        </w:rPr>
        <w:t>形象，激活社区活力。</w:t>
      </w:r>
    </w:p>
    <w:p>
      <w:pPr>
        <w:rPr>
          <w:highlight w:val="none"/>
        </w:rPr>
      </w:pPr>
      <w:r>
        <w:rPr>
          <w:rFonts w:hint="eastAsia"/>
          <w:highlight w:val="none"/>
        </w:rPr>
        <w:t>工业发展片区</w:t>
      </w:r>
      <w:r>
        <w:rPr>
          <w:highlight w:val="none"/>
        </w:rPr>
        <w:t>，以工业为主。重点发展新型环保材料、环保涂料新型环保建材、新能源材料、环保餐具制造</w:t>
      </w:r>
      <w:r>
        <w:rPr>
          <w:rFonts w:hint="eastAsia"/>
          <w:highlight w:val="none"/>
        </w:rPr>
        <w:t>。</w:t>
      </w:r>
      <w:r>
        <w:rPr>
          <w:highlight w:val="none"/>
        </w:rPr>
        <w:t>积极培育新能源及循环经济以融湾发展为理念，强调相关配套服务的完善，包括居住配套、基础设施配套等，打造产学研融合发展的创新高地。</w:t>
      </w:r>
    </w:p>
    <w:p>
      <w:pPr>
        <w:rPr>
          <w:highlight w:val="none"/>
        </w:rPr>
      </w:pPr>
      <w:r>
        <w:rPr>
          <w:rFonts w:hint="eastAsia"/>
          <w:highlight w:val="none"/>
        </w:rPr>
        <w:t>滨江商业片区</w:t>
      </w:r>
      <w:r>
        <w:rPr>
          <w:highlight w:val="none"/>
        </w:rPr>
        <w:t>，结合</w:t>
      </w:r>
      <w:r>
        <w:rPr>
          <w:rFonts w:hint="eastAsia"/>
          <w:highlight w:val="none"/>
        </w:rPr>
        <w:t>新丰江和羌坑河</w:t>
      </w:r>
      <w:r>
        <w:rPr>
          <w:highlight w:val="none"/>
        </w:rPr>
        <w:t>，发展</w:t>
      </w:r>
      <w:r>
        <w:rPr>
          <w:rFonts w:hint="eastAsia"/>
          <w:highlight w:val="none"/>
        </w:rPr>
        <w:t>商贸服务</w:t>
      </w:r>
      <w:r>
        <w:rPr>
          <w:highlight w:val="none"/>
        </w:rPr>
        <w:t>功能，并重点开展综合配套服务，打造</w:t>
      </w:r>
      <w:r>
        <w:rPr>
          <w:rFonts w:hint="eastAsia"/>
          <w:highlight w:val="none"/>
        </w:rPr>
        <w:t>新丰江</w:t>
      </w:r>
      <w:r>
        <w:rPr>
          <w:highlight w:val="none"/>
        </w:rPr>
        <w:t>沿岸高品质生态社区。</w:t>
      </w:r>
    </w:p>
    <w:p>
      <w:pPr>
        <w:rPr>
          <w:highlight w:val="none"/>
        </w:rPr>
      </w:pPr>
      <w:r>
        <w:rPr>
          <w:rFonts w:hint="eastAsia"/>
          <w:highlight w:val="none"/>
        </w:rPr>
        <w:t>东部生态休闲片区</w:t>
      </w:r>
      <w:r>
        <w:rPr>
          <w:highlight w:val="none"/>
        </w:rPr>
        <w:t>，以</w:t>
      </w:r>
      <w:r>
        <w:rPr>
          <w:rFonts w:hint="eastAsia"/>
          <w:highlight w:val="none"/>
        </w:rPr>
        <w:t>生态功能</w:t>
      </w:r>
      <w:r>
        <w:rPr>
          <w:highlight w:val="none"/>
        </w:rPr>
        <w:t>为主。</w:t>
      </w:r>
      <w:r>
        <w:rPr>
          <w:rFonts w:hint="eastAsia"/>
          <w:highlight w:val="none"/>
        </w:rPr>
        <w:t>打造后山公园，为镇区居民提供休闲场所。</w:t>
      </w:r>
    </w:p>
    <w:p>
      <w:pPr>
        <w:rPr>
          <w:highlight w:val="none"/>
        </w:rPr>
      </w:pPr>
      <w:r>
        <w:rPr>
          <w:rFonts w:hint="eastAsia"/>
          <w:highlight w:val="none"/>
        </w:rPr>
        <w:t>农田景观保护片区</w:t>
      </w:r>
      <w:r>
        <w:rPr>
          <w:highlight w:val="none"/>
        </w:rPr>
        <w:t>，以</w:t>
      </w:r>
      <w:r>
        <w:rPr>
          <w:rFonts w:hint="eastAsia"/>
          <w:highlight w:val="none"/>
        </w:rPr>
        <w:t>农田景观</w:t>
      </w:r>
      <w:r>
        <w:rPr>
          <w:highlight w:val="none"/>
        </w:rPr>
        <w:t>为主。</w:t>
      </w:r>
      <w:r>
        <w:rPr>
          <w:rFonts w:hint="eastAsia"/>
          <w:highlight w:val="none"/>
        </w:rPr>
        <w:t>为镇区居民提供自然田园风光。</w:t>
      </w:r>
    </w:p>
    <w:p>
      <w:pPr>
        <w:pStyle w:val="6"/>
        <w:rPr>
          <w:b w:val="0"/>
          <w:bCs w:val="0"/>
          <w:highlight w:val="none"/>
        </w:rPr>
      </w:pPr>
      <w:bookmarkStart w:id="296" w:name="_Toc145924850"/>
      <w:bookmarkStart w:id="297" w:name="_Toc142833575"/>
      <w:bookmarkStart w:id="298" w:name="_Toc28466"/>
      <w:r>
        <w:rPr>
          <w:rFonts w:hint="eastAsia"/>
          <w:b w:val="0"/>
          <w:bCs w:val="0"/>
          <w:highlight w:val="none"/>
        </w:rPr>
        <w:t>优化建设用地结构</w:t>
      </w:r>
      <w:bookmarkEnd w:id="296"/>
      <w:bookmarkEnd w:id="297"/>
      <w:bookmarkEnd w:id="298"/>
    </w:p>
    <w:p>
      <w:pPr>
        <w:rPr>
          <w:highlight w:val="none"/>
        </w:rPr>
      </w:pPr>
      <w:r>
        <w:rPr>
          <w:rFonts w:hint="eastAsia" w:ascii="Times New Roman" w:eastAsia="仿宋_GB2312"/>
          <w:szCs w:val="30"/>
          <w:highlight w:val="none"/>
        </w:rPr>
        <w:t>控制城镇建设用地规模增长，有序推进城市更新</w:t>
      </w:r>
      <w:r>
        <w:rPr>
          <w:rFonts w:hint="eastAsia"/>
          <w:highlight w:val="none"/>
        </w:rPr>
        <w:t>。结合15分钟社区生活圈优化完善公共服务设施用地布局，提升基本公共服务的覆盖度与便利性。</w:t>
      </w:r>
    </w:p>
    <w:p>
      <w:pPr>
        <w:rPr>
          <w:highlight w:val="none"/>
        </w:rPr>
      </w:pPr>
      <w:r>
        <w:rPr>
          <w:rFonts w:hint="eastAsia"/>
          <w:highlight w:val="none"/>
        </w:rPr>
        <w:t>强化产业用地保障，引导工业用地向园区集中，提升工业仓储用地利用效率。在符合规划前提下适当提高产业用地容积率，实现产业用地的集约高效发展。</w:t>
      </w:r>
    </w:p>
    <w:p>
      <w:pPr>
        <w:rPr>
          <w:highlight w:val="none"/>
        </w:rPr>
      </w:pPr>
      <w:r>
        <w:rPr>
          <w:rFonts w:hint="eastAsia"/>
          <w:highlight w:val="none"/>
        </w:rPr>
        <w:t>完善公用设施，加快重大设施落地。增加绿地与开敞空间供给，完善中心城区蓝绿空间网络和公园体系建设，引导城市绿地均衡布置，提升城市环境品质。</w:t>
      </w:r>
    </w:p>
    <w:p>
      <w:pPr>
        <w:rPr>
          <w:highlight w:val="none"/>
        </w:rPr>
      </w:pPr>
      <w:r>
        <w:rPr>
          <w:rFonts w:hint="eastAsia"/>
          <w:highlight w:val="none"/>
        </w:rPr>
        <w:t>鼓励建设用地功能复合利用。探索商业、办公、居住、公共服务设施与公用设施等用地的集约复合开发。引导园区与社区的融合发展，鼓励工业用地的功能置换和混合使用。</w:t>
      </w:r>
    </w:p>
    <w:p>
      <w:pPr>
        <w:pStyle w:val="5"/>
        <w:numPr>
          <w:ilvl w:val="0"/>
          <w:numId w:val="9"/>
        </w:numPr>
        <w:spacing w:before="156" w:beforeLines="50" w:after="156" w:afterLines="50"/>
        <w:rPr>
          <w:highlight w:val="none"/>
        </w:rPr>
      </w:pPr>
      <w:bookmarkStart w:id="299" w:name="_Toc2314"/>
      <w:bookmarkStart w:id="300" w:name="_Toc166446072"/>
      <w:r>
        <w:rPr>
          <w:highlight w:val="none"/>
        </w:rPr>
        <w:t>公共服务设施与社区生活圈</w:t>
      </w:r>
      <w:bookmarkEnd w:id="299"/>
      <w:bookmarkEnd w:id="300"/>
    </w:p>
    <w:p>
      <w:pPr>
        <w:pStyle w:val="6"/>
        <w:rPr>
          <w:b w:val="0"/>
          <w:bCs w:val="0"/>
          <w:highlight w:val="none"/>
        </w:rPr>
      </w:pPr>
      <w:bookmarkStart w:id="301" w:name="_Toc15317"/>
      <w:r>
        <w:rPr>
          <w:rFonts w:hint="eastAsia"/>
          <w:b w:val="0"/>
          <w:bCs w:val="0"/>
          <w:highlight w:val="none"/>
        </w:rPr>
        <w:t>镇区公共服务设施与社区生活圈</w:t>
      </w:r>
      <w:bookmarkEnd w:id="301"/>
    </w:p>
    <w:p>
      <w:pPr>
        <w:rPr>
          <w:highlight w:val="none"/>
        </w:rPr>
      </w:pPr>
      <w:r>
        <w:rPr>
          <w:rFonts w:hint="eastAsia" w:cs="Times New Roman"/>
          <w:color w:val="000000" w:themeColor="text1"/>
          <w:szCs w:val="24"/>
          <w:highlight w:val="none"/>
          <w14:textFill>
            <w14:solidFill>
              <w14:schemeClr w14:val="tx1"/>
            </w14:solidFill>
          </w14:textFill>
        </w:rPr>
        <w:t>规划至</w:t>
      </w:r>
      <w:r>
        <w:rPr>
          <w:rFonts w:cs="Times New Roman"/>
          <w:color w:val="000000" w:themeColor="text1"/>
          <w:szCs w:val="24"/>
          <w:highlight w:val="none"/>
          <w14:textFill>
            <w14:solidFill>
              <w14:schemeClr w14:val="tx1"/>
            </w14:solidFill>
          </w14:textFill>
        </w:rPr>
        <w:t>2035</w:t>
      </w:r>
      <w:r>
        <w:rPr>
          <w:rFonts w:hint="eastAsia" w:cs="Times New Roman"/>
          <w:color w:val="000000" w:themeColor="text1"/>
          <w:szCs w:val="24"/>
          <w:highlight w:val="none"/>
          <w14:textFill>
            <w14:solidFill>
              <w14:schemeClr w14:val="tx1"/>
            </w14:solidFill>
          </w14:textFill>
        </w:rPr>
        <w:t>年，</w:t>
      </w:r>
      <w:r>
        <w:rPr>
          <w:rFonts w:hint="eastAsia"/>
          <w:highlight w:val="none"/>
        </w:rPr>
        <w:t>规划马头镇构建“5-10分钟”社区生活圈。结合村庄居委社服务范围，合理配置城镇居民日常使用，尤其是面向老人、儿童的基本服务要素。鼓励学校、单位附属设施等向社区开放共享、分时使用。</w:t>
      </w:r>
    </w:p>
    <w:p>
      <w:pPr>
        <w:pStyle w:val="5"/>
        <w:numPr>
          <w:ilvl w:val="0"/>
          <w:numId w:val="9"/>
        </w:numPr>
        <w:spacing w:before="156" w:beforeLines="50" w:after="156" w:afterLines="50"/>
        <w:rPr>
          <w:highlight w:val="none"/>
        </w:rPr>
      </w:pPr>
      <w:bookmarkStart w:id="302" w:name="_Toc166446075"/>
      <w:bookmarkStart w:id="303" w:name="_Toc23918"/>
      <w:r>
        <w:rPr>
          <w:rFonts w:hint="eastAsia"/>
          <w:highlight w:val="none"/>
        </w:rPr>
        <w:t>绿地和开敞空间</w:t>
      </w:r>
      <w:bookmarkEnd w:id="302"/>
      <w:bookmarkEnd w:id="303"/>
    </w:p>
    <w:p>
      <w:pPr>
        <w:pStyle w:val="6"/>
        <w:rPr>
          <w:b w:val="0"/>
          <w:bCs w:val="0"/>
          <w:highlight w:val="none"/>
        </w:rPr>
      </w:pPr>
      <w:bookmarkStart w:id="304" w:name="_Toc23015"/>
      <w:r>
        <w:rPr>
          <w:rFonts w:hint="eastAsia"/>
          <w:b w:val="0"/>
          <w:bCs w:val="0"/>
          <w:highlight w:val="none"/>
        </w:rPr>
        <w:t>镇区公园绿地和开敞空间</w:t>
      </w:r>
      <w:bookmarkEnd w:id="304"/>
    </w:p>
    <w:p>
      <w:pPr>
        <w:rPr>
          <w:highlight w:val="none"/>
        </w:rPr>
      </w:pPr>
      <w:r>
        <w:rPr>
          <w:rFonts w:hint="eastAsia"/>
          <w:highlight w:val="none"/>
        </w:rPr>
        <w:t>规划依托镇区现状的山体、水系等自然资源，结合镇区内部河涌、国道通廊建设和外围自然山体，构建点、线、面相结合的绿地系统。</w:t>
      </w:r>
    </w:p>
    <w:p>
      <w:pPr>
        <w:rPr>
          <w:highlight w:val="none"/>
        </w:rPr>
      </w:pPr>
      <w:r>
        <w:rPr>
          <w:rFonts w:hint="eastAsia"/>
          <w:highlight w:val="none"/>
        </w:rPr>
        <w:t>以新丰江、羌坑河沿岸为线索，以碧道建设为契机，塑造宜人的绿色河岸绿地开敞空间，提升镇区沿河两岸的绿地品质，为居民提供大面积亲近自然的游憩场所。</w:t>
      </w:r>
    </w:p>
    <w:p>
      <w:pPr>
        <w:rPr>
          <w:highlight w:val="none"/>
        </w:rPr>
      </w:pPr>
      <w:r>
        <w:rPr>
          <w:rFonts w:hint="eastAsia"/>
          <w:highlight w:val="none"/>
        </w:rPr>
        <w:t>加强镇区主要干路绿化景观建设，形成网状的道路绿化体系，联系各类城镇绿化空间，塑造宜人的绿色交通环境。加强国道105、省道259等镇区段道路绿化建设，设置马头园工业园区绿化隔离带等，塑造宜人的道路景观空间。</w:t>
      </w:r>
    </w:p>
    <w:p>
      <w:pPr>
        <w:rPr>
          <w:highlight w:val="none"/>
        </w:rPr>
      </w:pPr>
      <w:r>
        <w:rPr>
          <w:rFonts w:hint="eastAsia"/>
          <w:highlight w:val="none"/>
        </w:rPr>
        <w:t>规划保留镇政府南侧的绿地公园广场，作为马头镇区居民休闲娱乐的公共空间与活动场所，结合马头镇居住社区，加强小游园、小绿地的城镇空间建设，通过见缝插针式布局建设居民生活城镇空间。</w:t>
      </w:r>
    </w:p>
    <w:p>
      <w:pPr>
        <w:pStyle w:val="5"/>
        <w:numPr>
          <w:ilvl w:val="0"/>
          <w:numId w:val="9"/>
        </w:numPr>
        <w:spacing w:before="156" w:beforeLines="50" w:after="156" w:afterLines="50"/>
        <w:rPr>
          <w:highlight w:val="none"/>
        </w:rPr>
      </w:pPr>
      <w:bookmarkStart w:id="305" w:name="_Toc21286"/>
      <w:bookmarkStart w:id="306" w:name="_Toc166446081"/>
      <w:r>
        <w:rPr>
          <w:rFonts w:hint="eastAsia"/>
          <w:highlight w:val="none"/>
        </w:rPr>
        <w:t>道路交通规划</w:t>
      </w:r>
      <w:bookmarkEnd w:id="305"/>
      <w:bookmarkEnd w:id="306"/>
    </w:p>
    <w:p>
      <w:pPr>
        <w:pStyle w:val="6"/>
        <w:rPr>
          <w:b w:val="0"/>
          <w:bCs w:val="0"/>
          <w:highlight w:val="none"/>
        </w:rPr>
      </w:pPr>
      <w:bookmarkStart w:id="307" w:name="_Toc9240"/>
      <w:r>
        <w:rPr>
          <w:rFonts w:hint="eastAsia"/>
          <w:b w:val="0"/>
          <w:bCs w:val="0"/>
          <w:highlight w:val="none"/>
        </w:rPr>
        <w:t>镇区道路交通规划</w:t>
      </w:r>
      <w:bookmarkEnd w:id="307"/>
    </w:p>
    <w:p>
      <w:pPr>
        <w:widowControl/>
        <w:jc w:val="left"/>
        <w:rPr>
          <w:highlight w:val="none"/>
        </w:rPr>
      </w:pPr>
      <w:r>
        <w:rPr>
          <w:rFonts w:hint="eastAsia"/>
          <w:highlight w:val="none"/>
        </w:rPr>
        <w:t>镇区构建纵横交错的道路交通网络，形成方格网式+自由式相结合的路网系统，规划以保留优化现状城镇道路。打通镇区内部存在断头路，提高镇区内部道路的连通性，适度增加城镇次干道与城镇支路建设密度，提高镇区道路的可达性，加强道路与景观的串联度，提高镇区道路观赏性，优化镇区周边道路，提高镇区与周边乡村的连接性。</w:t>
      </w:r>
    </w:p>
    <w:p>
      <w:pPr>
        <w:rPr>
          <w:highlight w:val="none"/>
        </w:rPr>
      </w:pPr>
      <w:r>
        <w:rPr>
          <w:rFonts w:hint="eastAsia"/>
          <w:highlight w:val="none"/>
        </w:rPr>
        <w:t>规划以国道105、省道259、县道850及乡道935镇区段及镇政府南侧道路为道路骨架，增加支路系统，优化现状路网，确保镇区内部各个功能区的联通性及可达性。加强马头园工业园区与国道105、乡道935之间的连接性，优化道路交叉口设计，提高交通效率，减少拥堵和事故风险。</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打造慢行系统提升镇区的宜居性，依托镇区水系和景观绿地，重点打造新丰江-羌坑河慢行主廊道。通过慢行道串联镇区各慢行节点，慢行系统与公共交通站点无缝对接，方便居民换乘，形成“步行+公交”、“自行车+公交”的出行模式。构建便捷、安全、舒适的慢行系统。</w:t>
      </w:r>
    </w:p>
    <w:p>
      <w:pPr>
        <w:pStyle w:val="5"/>
        <w:spacing w:before="156" w:beforeLines="50" w:after="156" w:afterLines="50"/>
        <w:rPr>
          <w:highlight w:val="none"/>
        </w:rPr>
      </w:pPr>
      <w:bookmarkStart w:id="308" w:name="_Toc8480"/>
      <w:bookmarkStart w:id="309" w:name="_Toc166446085"/>
      <w:r>
        <w:rPr>
          <w:rFonts w:hint="eastAsia"/>
          <w:highlight w:val="none"/>
        </w:rPr>
        <w:t>市政基础设施布局</w:t>
      </w:r>
      <w:bookmarkEnd w:id="308"/>
      <w:bookmarkEnd w:id="309"/>
    </w:p>
    <w:p>
      <w:pPr>
        <w:pStyle w:val="6"/>
        <w:rPr>
          <w:b w:val="0"/>
          <w:bCs w:val="0"/>
          <w:highlight w:val="none"/>
        </w:rPr>
      </w:pPr>
      <w:bookmarkStart w:id="310" w:name="_Toc10398"/>
      <w:r>
        <w:rPr>
          <w:rFonts w:hint="eastAsia"/>
          <w:b w:val="0"/>
          <w:bCs w:val="0"/>
          <w:highlight w:val="none"/>
        </w:rPr>
        <w:t>镇区市政设施规划</w:t>
      </w:r>
      <w:bookmarkEnd w:id="310"/>
    </w:p>
    <w:p>
      <w:pPr>
        <w:rPr>
          <w:rFonts w:cs="仿宋_GB2312"/>
          <w:kern w:val="0"/>
          <w:szCs w:val="20"/>
          <w:highlight w:val="none"/>
          <w:lang w:bidi="ar"/>
        </w:rPr>
      </w:pPr>
      <w:r>
        <w:rPr>
          <w:rFonts w:hint="eastAsia" w:cs="仿宋_GB2312"/>
          <w:kern w:val="0"/>
          <w:szCs w:val="20"/>
          <w:highlight w:val="none"/>
          <w:lang w:bidi="ar"/>
        </w:rPr>
        <w:t>遵循国家和韶关相关规划和技术标准，旨在构建科学、合理、高效、可持续发展的镇区基础设施体系，保障城镇运行效率和居民生活质量。适应未来发展趋势，本次规划预留发展空间，保证基础设施随着镇区人口增长和社会经济发展及时扩容升级。同时倡导节能环保理念，优先选用绿色低碳技术，重视资源循环利用，实现基础设施建设与生态环境保护的和谐共生。</w:t>
      </w:r>
    </w:p>
    <w:p>
      <w:pPr>
        <w:rPr>
          <w:rFonts w:cs="仿宋_GB2312"/>
          <w:kern w:val="0"/>
          <w:szCs w:val="20"/>
          <w:highlight w:val="none"/>
          <w:lang w:bidi="ar"/>
        </w:rPr>
      </w:pPr>
      <w:r>
        <w:rPr>
          <w:rFonts w:hint="eastAsia" w:cs="仿宋_GB2312"/>
          <w:kern w:val="0"/>
          <w:szCs w:val="20"/>
          <w:highlight w:val="none"/>
          <w:lang w:bidi="ar"/>
        </w:rPr>
        <w:t>充分考虑马头镇镇区的发展定位与功能结构，本次市政基础设施规划镇域总体空间布局紧密结合，确保镇区内部及与周边乡村地区的有机衔接，形成一体化的基础设施网络。合理配置供水、排水、供电、供气、通讯、环卫等基础设施，确保供水水质安全、水量充足，污水处理达到排放标准；建立稳定可靠的供电网络，考虑可再生能源接入，天然气供应覆盖逐步完善。满足镇区经济社会发展和居民生活需要。</w:t>
      </w:r>
    </w:p>
    <w:p>
      <w:pPr>
        <w:pStyle w:val="5"/>
        <w:spacing w:before="156" w:beforeLines="50" w:after="156" w:afterLines="50"/>
        <w:rPr>
          <w:highlight w:val="none"/>
        </w:rPr>
      </w:pPr>
      <w:bookmarkStart w:id="311" w:name="_Toc166446094"/>
      <w:bookmarkStart w:id="312" w:name="_Toc27600"/>
      <w:r>
        <w:rPr>
          <w:rFonts w:hint="eastAsia"/>
          <w:highlight w:val="none"/>
        </w:rPr>
        <w:t>综合防灾规划</w:t>
      </w:r>
      <w:bookmarkEnd w:id="311"/>
      <w:bookmarkEnd w:id="312"/>
    </w:p>
    <w:p>
      <w:pPr>
        <w:pStyle w:val="6"/>
        <w:rPr>
          <w:b w:val="0"/>
          <w:bCs w:val="0"/>
          <w:highlight w:val="none"/>
        </w:rPr>
      </w:pPr>
      <w:bookmarkStart w:id="313" w:name="_Toc21735"/>
      <w:r>
        <w:rPr>
          <w:rFonts w:hint="eastAsia"/>
          <w:b w:val="0"/>
          <w:bCs w:val="0"/>
          <w:highlight w:val="none"/>
        </w:rPr>
        <w:t>镇区综合防灾规划</w:t>
      </w:r>
      <w:bookmarkEnd w:id="313"/>
    </w:p>
    <w:p>
      <w:pPr>
        <w:rPr>
          <w:highlight w:val="none"/>
        </w:rPr>
      </w:pPr>
      <w:r>
        <w:rPr>
          <w:rFonts w:hint="eastAsia"/>
          <w:highlight w:val="none"/>
        </w:rPr>
        <w:t>规划设防震指挥中心一处，位于镇政府内。将城镇公园、广场、运动场、学校操场、河滨及附近农田作为避震疏散地。在详细规划中应合理组织疏散通道，使避震疏散地服务半径小于500米，并保证1.5㎡/人的避震疏散地。</w:t>
      </w:r>
    </w:p>
    <w:p>
      <w:pPr>
        <w:rPr>
          <w:highlight w:val="none"/>
        </w:rPr>
      </w:pPr>
      <w:r>
        <w:rPr>
          <w:rFonts w:hint="eastAsia"/>
          <w:highlight w:val="none"/>
        </w:rPr>
        <w:t>应对极端气候以及大规模突发事件，构建以救援主通道、疏散主通道、疏散次通道和一般疏散通道为主体的分级疏散救援通道体系。主干路、次干道为主要避震疏散通道，应按照避震疏散通道的建设要求进行规划控制。</w:t>
      </w:r>
    </w:p>
    <w:p>
      <w:pPr>
        <w:rPr>
          <w:highlight w:val="none"/>
        </w:rPr>
      </w:pPr>
      <w:r>
        <w:rPr>
          <w:rFonts w:hint="eastAsia"/>
          <w:highlight w:val="none"/>
        </w:rPr>
        <w:t>构建“1+N”消防站模式的综合应急救援布局，即1个中心消防站+多个附属消防站。规划保留马头园区消防站，作为镇区的中心消防站，同时根据需求附属消防站。</w:t>
      </w:r>
    </w:p>
    <w:p>
      <w:pPr>
        <w:pStyle w:val="5"/>
        <w:numPr>
          <w:ilvl w:val="0"/>
          <w:numId w:val="9"/>
        </w:numPr>
        <w:spacing w:before="156" w:beforeLines="50" w:after="156" w:afterLines="50"/>
        <w:rPr>
          <w:highlight w:val="none"/>
        </w:rPr>
      </w:pPr>
      <w:bookmarkStart w:id="314" w:name="_Toc655"/>
      <w:r>
        <w:rPr>
          <w:rFonts w:hint="eastAsia"/>
          <w:highlight w:val="none"/>
        </w:rPr>
        <w:t>四线划定</w:t>
      </w:r>
      <w:bookmarkEnd w:id="314"/>
    </w:p>
    <w:p>
      <w:pPr>
        <w:pStyle w:val="6"/>
        <w:rPr>
          <w:b w:val="0"/>
          <w:bCs w:val="0"/>
          <w:highlight w:val="none"/>
        </w:rPr>
      </w:pPr>
      <w:bookmarkStart w:id="315" w:name="_Toc31744"/>
      <w:r>
        <w:rPr>
          <w:rFonts w:hint="eastAsia"/>
          <w:b w:val="0"/>
          <w:bCs w:val="0"/>
          <w:highlight w:val="none"/>
        </w:rPr>
        <w:t>蓝线划定与管控</w:t>
      </w:r>
      <w:bookmarkEnd w:id="315"/>
    </w:p>
    <w:p>
      <w:pPr>
        <w:rPr>
          <w:highlight w:val="none"/>
        </w:rPr>
      </w:pPr>
      <w:r>
        <w:rPr>
          <w:rFonts w:hint="eastAsia"/>
          <w:highlight w:val="none"/>
          <w:u w:val="single"/>
        </w:rPr>
        <w:t>镇区划定蓝线，城市蓝线范围为新丰江。蓝线管理应遵照相关法规政策等进行管理。</w:t>
      </w:r>
      <w:r>
        <w:rPr>
          <w:rFonts w:hint="eastAsia"/>
          <w:highlight w:val="none"/>
        </w:rPr>
        <w:t>在保障总规模不减少以及满足单元水域面积、河湖水面率等指标要求的前提下，蓝线的具体边界、定位可在国土空间详细规划编制和实施中落实，蓝线的调整应符合国家有关规定，并与水利部门河湖管理范围充分衔接。</w:t>
      </w:r>
    </w:p>
    <w:p>
      <w:pPr>
        <w:pStyle w:val="6"/>
        <w:rPr>
          <w:b w:val="0"/>
          <w:bCs w:val="0"/>
          <w:highlight w:val="none"/>
        </w:rPr>
      </w:pPr>
      <w:bookmarkStart w:id="316" w:name="_Toc4326"/>
      <w:r>
        <w:rPr>
          <w:rFonts w:hint="eastAsia"/>
          <w:b w:val="0"/>
          <w:bCs w:val="0"/>
          <w:highlight w:val="none"/>
        </w:rPr>
        <w:t>绿线划定与管控</w:t>
      </w:r>
      <w:bookmarkEnd w:id="316"/>
    </w:p>
    <w:p>
      <w:pPr>
        <w:rPr>
          <w:rFonts w:ascii="仿宋_GB2312"/>
          <w:highlight w:val="none"/>
        </w:rPr>
      </w:pPr>
      <w:r>
        <w:rPr>
          <w:rFonts w:hint="eastAsia"/>
          <w:highlight w:val="none"/>
          <w:u w:val="single"/>
        </w:rPr>
        <w:t>规划将承担重要休闲游憩功能的城乡公园、广场划定为绿线。城市绿线管理应遵照相关法规政策等进行管理。</w:t>
      </w:r>
      <w:r>
        <w:rPr>
          <w:rFonts w:hint="eastAsia"/>
          <w:highlight w:val="none"/>
        </w:rPr>
        <w:t>在保障总规模不减少的前提下，绿线的具体边界、定位可在国土空间详细规划编制和实施中落实，绿线的调整应符合国家有关规定。绿线范围内不得进行对生态环境构成破坏的活动，除地下空间开发利用、地面应急救援、绿化养护、文化自然遗产保护、必要的公园配套设施外，不得进行其他项目建设。</w:t>
      </w:r>
    </w:p>
    <w:p>
      <w:pPr>
        <w:pStyle w:val="6"/>
        <w:rPr>
          <w:b w:val="0"/>
          <w:bCs w:val="0"/>
          <w:highlight w:val="none"/>
        </w:rPr>
      </w:pPr>
      <w:bookmarkStart w:id="317" w:name="_Toc30006"/>
      <w:r>
        <w:rPr>
          <w:rFonts w:hint="eastAsia"/>
          <w:b w:val="0"/>
          <w:bCs w:val="0"/>
          <w:highlight w:val="none"/>
        </w:rPr>
        <w:t>黄线划定与管控</w:t>
      </w:r>
      <w:bookmarkEnd w:id="317"/>
    </w:p>
    <w:p>
      <w:pPr>
        <w:rPr>
          <w:highlight w:val="none"/>
        </w:rPr>
      </w:pPr>
      <w:r>
        <w:rPr>
          <w:rFonts w:hint="eastAsia"/>
          <w:highlight w:val="none"/>
          <w:u w:val="single"/>
        </w:rPr>
        <w:t>镇区黄线为镇区变电站用地。城市黄线管理应遵照相关法规政策等进行管理。</w:t>
      </w:r>
      <w:r>
        <w:rPr>
          <w:rFonts w:hint="eastAsia"/>
          <w:highlight w:val="none"/>
        </w:rPr>
        <w:t>城市黄线控制范围不仅保障设施自身运行安全，同时应考虑与周围其他建（构）筑物的间距要求。在保障总规模不减少的前提下，黄线的具体边界、定位可在国土空间详细规划编制和实施中落实，黄线的调整应符合国家有关规定。</w:t>
      </w:r>
    </w:p>
    <w:p>
      <w:pPr>
        <w:pStyle w:val="6"/>
        <w:rPr>
          <w:b w:val="0"/>
          <w:bCs w:val="0"/>
          <w:highlight w:val="none"/>
        </w:rPr>
      </w:pPr>
      <w:bookmarkStart w:id="318" w:name="_Toc11055"/>
      <w:r>
        <w:rPr>
          <w:rFonts w:hint="eastAsia"/>
          <w:b w:val="0"/>
          <w:bCs w:val="0"/>
          <w:highlight w:val="none"/>
        </w:rPr>
        <w:t>紫线划定与管控</w:t>
      </w:r>
      <w:bookmarkEnd w:id="318"/>
    </w:p>
    <w:p>
      <w:pPr>
        <w:rPr>
          <w:highlight w:val="none"/>
        </w:rPr>
      </w:pPr>
      <w:r>
        <w:rPr>
          <w:rFonts w:hint="eastAsia" w:cs="Times New Roman"/>
          <w:color w:val="000000" w:themeColor="text1"/>
          <w:szCs w:val="24"/>
          <w:highlight w:val="none"/>
          <w14:textFill>
            <w14:solidFill>
              <w14:schemeClr w14:val="tx1"/>
            </w14:solidFill>
          </w14:textFill>
        </w:rPr>
        <w:t>规划镇区不涉及城市紫线</w:t>
      </w:r>
      <w:r>
        <w:rPr>
          <w:rFonts w:hint="eastAsia"/>
          <w:highlight w:val="none"/>
        </w:rPr>
        <w:t>。</w:t>
      </w:r>
    </w:p>
    <w:p>
      <w:pPr>
        <w:jc w:val="left"/>
        <w:rPr>
          <w:highlight w:val="none"/>
        </w:rPr>
      </w:pPr>
      <w:r>
        <w:rPr>
          <w:rFonts w:hint="eastAsia"/>
          <w:highlight w:val="none"/>
        </w:rPr>
        <w:br w:type="page"/>
      </w:r>
    </w:p>
    <w:bookmarkEnd w:id="281"/>
    <w:bookmarkEnd w:id="282"/>
    <w:bookmarkEnd w:id="283"/>
    <w:bookmarkEnd w:id="284"/>
    <w:bookmarkEnd w:id="285"/>
    <w:bookmarkEnd w:id="293"/>
    <w:p>
      <w:pPr>
        <w:pStyle w:val="4"/>
        <w:numPr>
          <w:ilvl w:val="0"/>
          <w:numId w:val="5"/>
        </w:numPr>
        <w:spacing w:before="312" w:after="312"/>
        <w:ind w:left="0" w:firstLine="0"/>
        <w:rPr>
          <w:b w:val="0"/>
          <w:bCs w:val="0"/>
          <w:highlight w:val="none"/>
        </w:rPr>
      </w:pPr>
      <w:bookmarkStart w:id="319" w:name="_Toc3134"/>
      <w:bookmarkStart w:id="320" w:name="_Toc14350"/>
      <w:bookmarkStart w:id="321" w:name="_Toc7484"/>
      <w:bookmarkStart w:id="322" w:name="_Toc15545"/>
      <w:bookmarkStart w:id="323" w:name="_Toc23074"/>
      <w:r>
        <w:rPr>
          <w:rFonts w:hint="eastAsia"/>
          <w:b w:val="0"/>
          <w:bCs w:val="0"/>
          <w:highlight w:val="none"/>
        </w:rPr>
        <w:t>规划实施保障</w:t>
      </w:r>
      <w:bookmarkEnd w:id="319"/>
      <w:bookmarkEnd w:id="320"/>
      <w:bookmarkEnd w:id="321"/>
      <w:bookmarkEnd w:id="322"/>
      <w:bookmarkEnd w:id="323"/>
    </w:p>
    <w:p>
      <w:pPr>
        <w:pStyle w:val="5"/>
        <w:numPr>
          <w:ilvl w:val="0"/>
          <w:numId w:val="10"/>
        </w:numPr>
        <w:spacing w:before="156" w:beforeLines="50" w:after="156" w:afterLines="50"/>
        <w:rPr>
          <w:highlight w:val="none"/>
        </w:rPr>
      </w:pPr>
      <w:bookmarkStart w:id="324" w:name="_Toc6446"/>
      <w:r>
        <w:rPr>
          <w:highlight w:val="none"/>
        </w:rPr>
        <w:t>加强党的领导</w:t>
      </w:r>
      <w:bookmarkEnd w:id="324"/>
    </w:p>
    <w:p>
      <w:pPr>
        <w:pStyle w:val="6"/>
        <w:rPr>
          <w:b w:val="0"/>
          <w:bCs w:val="0"/>
          <w:highlight w:val="none"/>
        </w:rPr>
      </w:pPr>
      <w:bookmarkStart w:id="325" w:name="_Toc145864505"/>
      <w:bookmarkStart w:id="326" w:name="_Toc166446107"/>
      <w:bookmarkStart w:id="327" w:name="_Toc3650"/>
      <w:r>
        <w:rPr>
          <w:rFonts w:hint="eastAsia"/>
          <w:b w:val="0"/>
          <w:bCs w:val="0"/>
          <w:color w:val="000000" w:themeColor="text1"/>
          <w:highlight w:val="none"/>
          <w14:textFill>
            <w14:solidFill>
              <w14:schemeClr w14:val="tx1"/>
            </w14:solidFill>
          </w14:textFill>
        </w:rPr>
        <w:t>强化党对国土空间规划工作的全面领导</w:t>
      </w:r>
      <w:bookmarkEnd w:id="325"/>
      <w:bookmarkEnd w:id="326"/>
      <w:bookmarkEnd w:id="327"/>
    </w:p>
    <w:p>
      <w:pPr>
        <w:tabs>
          <w:tab w:val="left" w:pos="0"/>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举中国特色社会主义伟大旗帜，坚持以习近平新时代中国特色社会主义思想为指导，深入贯彻习近平总书记对广东系列重要讲话、重要指示精神，深刻领悟“两个确立”的决定性意义，增强“四个意识”、坚定“四个自信”、做到“两个维护”，不断提高政治判断力、政治领悟力、政治执行力，把党的领导贯彻到国土空间规划编制实施全过程各领域各环节。</w:t>
      </w:r>
    </w:p>
    <w:p>
      <w:pPr>
        <w:pStyle w:val="5"/>
        <w:numPr>
          <w:ilvl w:val="0"/>
          <w:numId w:val="9"/>
        </w:numPr>
        <w:spacing w:before="156" w:beforeLines="50" w:after="156" w:afterLines="50"/>
        <w:rPr>
          <w:highlight w:val="none"/>
        </w:rPr>
      </w:pPr>
      <w:bookmarkStart w:id="328" w:name="_Toc5784"/>
      <w:r>
        <w:rPr>
          <w:highlight w:val="none"/>
        </w:rPr>
        <w:t>规划传导及管控</w:t>
      </w:r>
      <w:bookmarkEnd w:id="328"/>
    </w:p>
    <w:p>
      <w:pPr>
        <w:pStyle w:val="6"/>
        <w:rPr>
          <w:b w:val="0"/>
          <w:bCs w:val="0"/>
          <w:highlight w:val="none"/>
        </w:rPr>
      </w:pPr>
      <w:bookmarkStart w:id="329" w:name="_Toc29203"/>
      <w:r>
        <w:rPr>
          <w:rFonts w:hint="eastAsia"/>
          <w:b w:val="0"/>
          <w:bCs w:val="0"/>
          <w:highlight w:val="none"/>
        </w:rPr>
        <w:t>规划传导</w:t>
      </w:r>
      <w:bookmarkEnd w:id="329"/>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马头镇国土空间总体规划编制过程中，严格落实韶关市、新丰县国土空间总体规划确定的发展战略、城镇职能、指标分解等要求，在规划编制过程中给予落实。按照马头镇国土空间总体规划指标分解，确保详细规划编制符合上位规划的管理要求。</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城镇开发边界以内，编制控制性详细规划，作为指导项目建设的法定依据；在城镇开发边界以外的乡村区域，按需开展村庄规划编制的优化提升，对不需编制村庄规划或无条件、暂不编制村庄规划的村庄，可根据村庄规划通则管控要求，实现规划管理全覆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建立健全专项规划体系，在资源利用、要素配置、安全保护、城市特色等重点方面，应编制专项规划，对空间开发保护利用作出专项安排。</w:t>
      </w:r>
    </w:p>
    <w:p>
      <w:pPr>
        <w:rPr>
          <w:highlight w:val="none"/>
        </w:rPr>
      </w:pPr>
      <w:r>
        <w:rPr>
          <w:rFonts w:hint="eastAsia"/>
          <w:highlight w:val="none"/>
        </w:rPr>
        <w:t>按照重新编制、通则管理、详规覆盖3种方法，对马头镇现有的</w:t>
      </w:r>
      <w:r>
        <w:rPr>
          <w:highlight w:val="none"/>
        </w:rPr>
        <w:t>30</w:t>
      </w:r>
      <w:r>
        <w:rPr>
          <w:rFonts w:hint="eastAsia"/>
          <w:highlight w:val="none"/>
        </w:rPr>
        <w:t>条村庄规划进行分类优化提升引导。</w:t>
      </w:r>
    </w:p>
    <w:p>
      <w:pPr>
        <w:rPr>
          <w:rFonts w:ascii="仿宋" w:hAnsi="仿宋"/>
          <w:highlight w:val="none"/>
        </w:rPr>
      </w:pPr>
      <w:r>
        <w:rPr>
          <w:rFonts w:hint="eastAsia"/>
          <w:highlight w:val="none"/>
        </w:rPr>
        <w:t>重新编制类：共涉及8条行政村村庄规划，主要为村庄现状发展条件较好，交通区位便捷，以及因推进乡村建设行动、农村人居环境整治、农村一二三产业融合发展等有较多开发建设、修复整治任务的村庄，包括湖塘村、雅盖村、板岭下村、层坑村、军二村、军三村、</w:t>
      </w:r>
      <w:r>
        <w:rPr>
          <w:rFonts w:hint="eastAsia" w:ascii="仿宋" w:hAnsi="仿宋"/>
          <w:highlight w:val="none"/>
        </w:rPr>
        <w:t>潭石村、乌石岗村。</w:t>
      </w:r>
    </w:p>
    <w:p>
      <w:pPr>
        <w:rPr>
          <w:highlight w:val="none"/>
        </w:rPr>
      </w:pPr>
      <w:r>
        <w:rPr>
          <w:rFonts w:hint="eastAsia"/>
          <w:highlight w:val="none"/>
        </w:rPr>
        <w:t>通则管理类：共涉及22条行政村村庄规划，包括湾田村、大陂村、福水村、军一村、石角村、寨下村、水背村、岭头村、罗陂村、张田坑村、桐木山村、秀坑村、科罗村、秀田村、</w:t>
      </w:r>
      <w:r>
        <w:rPr>
          <w:rFonts w:hint="eastAsia"/>
          <w:highlight w:val="none"/>
          <w:lang w:eastAsia="zh-CN"/>
        </w:rPr>
        <w:t>姜坑</w:t>
      </w:r>
      <w:r>
        <w:rPr>
          <w:rFonts w:hint="eastAsia"/>
          <w:highlight w:val="none"/>
        </w:rPr>
        <w:t>村、雅坑村、路下村、塘尾村、文义村、横岭村、坪山村、上湾村。本规划批准实施后，通则管理类村庄可根据实际需求开展村庄规划编制。</w:t>
      </w:r>
    </w:p>
    <w:p>
      <w:pPr>
        <w:rPr>
          <w:highlight w:val="none"/>
        </w:rPr>
      </w:pPr>
      <w:r>
        <w:rPr>
          <w:rFonts w:hint="eastAsia"/>
          <w:highlight w:val="none"/>
        </w:rPr>
        <w:t>详规覆盖类：共涉及2条行政村，将该类村庄城镇开发边界内用地纳入城镇详细规划统一管理，主要为马头镇镇政府驻地及产业园区所在地湖塘村及雅盖村。村庄城镇开发边界内地块按照详规相关要求管控。</w:t>
      </w:r>
    </w:p>
    <w:p>
      <w:pPr>
        <w:rPr>
          <w:highlight w:val="none"/>
        </w:rPr>
      </w:pPr>
      <w:r>
        <w:rPr>
          <w:rFonts w:hint="eastAsia"/>
          <w:highlight w:val="none"/>
        </w:rPr>
        <w:br w:type="page"/>
      </w:r>
    </w:p>
    <w:p>
      <w:pPr>
        <w:pStyle w:val="30"/>
        <w:ind w:right="24"/>
        <w:rPr>
          <w:highlight w:val="none"/>
        </w:rPr>
      </w:pPr>
    </w:p>
    <w:p>
      <w:pPr>
        <w:pStyle w:val="6"/>
        <w:rPr>
          <w:b w:val="0"/>
          <w:bCs w:val="0"/>
          <w:highlight w:val="none"/>
        </w:rPr>
      </w:pPr>
      <w:bookmarkStart w:id="330" w:name="_Toc16539"/>
      <w:r>
        <w:rPr>
          <w:rFonts w:hint="eastAsia"/>
          <w:b w:val="0"/>
          <w:bCs w:val="0"/>
          <w:highlight w:val="none"/>
        </w:rPr>
        <w:t>村庄规划管理通则</w:t>
      </w:r>
      <w:bookmarkEnd w:id="330"/>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8522" w:type="dxa"/>
            <w:shd w:val="clear" w:color="auto" w:fill="BEBEBE" w:themeFill="background1" w:themeFillShade="BF"/>
          </w:tcPr>
          <w:p>
            <w:pPr>
              <w:jc w:val="center"/>
              <w:rPr>
                <w:color w:val="A6A6A6" w:themeColor="background1" w:themeShade="A6"/>
                <w:highlight w:val="none"/>
              </w:rPr>
            </w:pPr>
            <w:r>
              <w:rPr>
                <w:rFonts w:eastAsia="黑体"/>
                <w:highlight w:val="none"/>
              </w:rPr>
              <w:t>专栏</w:t>
            </w:r>
            <w:r>
              <w:rPr>
                <w:rFonts w:hint="eastAsia" w:eastAsia="黑体"/>
                <w:highlight w:val="none"/>
              </w:rPr>
              <w:t>10</w:t>
            </w:r>
            <w:r>
              <w:rPr>
                <w:rFonts w:eastAsia="黑体"/>
                <w:highlight w:val="none"/>
              </w:rPr>
              <w:t>-1</w:t>
            </w:r>
            <w:r>
              <w:rPr>
                <w:rFonts w:hint="eastAsia" w:eastAsia="黑体"/>
                <w:highlight w:val="none"/>
              </w:rPr>
              <w:t>：马头镇村庄规划管理通则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numPr>
                <w:ilvl w:val="255"/>
                <w:numId w:val="0"/>
              </w:num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一、底线管控</w:t>
            </w:r>
          </w:p>
          <w:p>
            <w:pPr>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（一）耕地和永久基本农田</w:t>
            </w:r>
          </w:p>
          <w:p>
            <w:pPr>
              <w:ind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严格落实耕地保护任务，尽量不占或者少占耕地；确需占用的，应按规定办理相关手续。本镇落实耕地保护任务2064.80公顷，其中板岭下村126.44公顷、层坑村110.43公顷、大陂村78.43公顷、福水村92.65公顷、横岭村71.49公顷、湖塘村27.55公顷、</w:t>
            </w:r>
            <w:r>
              <w:rPr>
                <w:rFonts w:hint="eastAsia"/>
                <w:color w:val="000000" w:themeColor="text1"/>
                <w:highlight w:val="none"/>
                <w:lang w:eastAsia="zh-CN"/>
                <w14:textFill>
                  <w14:solidFill>
                    <w14:schemeClr w14:val="tx1"/>
                  </w14:solidFill>
                </w14:textFill>
              </w:rPr>
              <w:t>姜坑</w:t>
            </w:r>
            <w:r>
              <w:rPr>
                <w:rFonts w:hint="eastAsia"/>
                <w:color w:val="000000" w:themeColor="text1"/>
                <w:highlight w:val="none"/>
                <w14:textFill>
                  <w14:solidFill>
                    <w14:schemeClr w14:val="tx1"/>
                  </w14:solidFill>
                </w14:textFill>
              </w:rPr>
              <w:t>村</w:t>
            </w:r>
            <w:r>
              <w:rPr>
                <w:color w:val="000000" w:themeColor="text1"/>
                <w:highlight w:val="none"/>
                <w14:textFill>
                  <w14:solidFill>
                    <w14:schemeClr w14:val="tx1"/>
                  </w14:solidFill>
                </w14:textFill>
              </w:rPr>
              <w:t>43.09公顷、军二村27.70公顷、军三村77.94公顷、军一村86.14公顷、科罗村23.16公顷、岭头村18.98公顷、路下村95.03公顷、罗陂村87.49公顷、马头镇林场0.24公顷、坪山村49.66公顷、上湾村95.01公顷、石角村62.71公顷、水背村34.51公顷、潭石村110.60公顷、塘尾村37.09公顷、桐木山村50.48公顷、湾田村127.62公顷、文义村41.02公顷、乌石岗村50.64公顷、秀坑村64.32公顷、秀田村84.09公顷、雅盖村66.20公顷、雅坑村66.37公顷、寨下村54.79公顷、张田坑村102.94公顷。</w:t>
            </w:r>
          </w:p>
          <w:p>
            <w:pPr>
              <w:ind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严格落实永久基本农田，不得擅自占用或者改变用途。本镇落实永久基本农田保护任务2000.01公顷，其中板岭下村122.80公顷、层坑村109.72公顷、大陂村75.47公顷、福水村92.13公顷、横岭村69.20公顷、湖塘村15.37公顷、</w:t>
            </w:r>
            <w:r>
              <w:rPr>
                <w:rFonts w:hint="eastAsia"/>
                <w:color w:val="000000" w:themeColor="text1"/>
                <w:highlight w:val="none"/>
                <w:lang w:eastAsia="zh-CN"/>
                <w14:textFill>
                  <w14:solidFill>
                    <w14:schemeClr w14:val="tx1"/>
                  </w14:solidFill>
                </w14:textFill>
              </w:rPr>
              <w:t>姜坑</w:t>
            </w:r>
            <w:r>
              <w:rPr>
                <w:rFonts w:hint="eastAsia"/>
                <w:color w:val="000000" w:themeColor="text1"/>
                <w:highlight w:val="none"/>
                <w14:textFill>
                  <w14:solidFill>
                    <w14:schemeClr w14:val="tx1"/>
                  </w14:solidFill>
                </w14:textFill>
              </w:rPr>
              <w:t>村</w:t>
            </w:r>
            <w:r>
              <w:rPr>
                <w:color w:val="000000" w:themeColor="text1"/>
                <w:highlight w:val="none"/>
                <w14:textFill>
                  <w14:solidFill>
                    <w14:schemeClr w14:val="tx1"/>
                  </w14:solidFill>
                </w14:textFill>
              </w:rPr>
              <w:t>42.41公顷、军二村27.30公顷、军三村77.73公顷、军一村85.47公顷、科罗村16.00公顷、岭头村18.77公顷、路下村94.98公顷、罗陂村84.88公顷、马头镇林场0.11公顷、坪山村49.56公顷、上湾村94.05公顷、石角村61.70公顷、水背村34.51公顷、潭石村105.81公顷、塘尾村36.63公顷、桐木山村40.13公顷、湾田村125.98公顷、文义村40.31公顷、乌石岗村50.35公顷、秀坑村63.50公顷、秀田村82.14公顷、雅盖村61.98公顷、雅坑村65.54公顷、寨下村52.69公顷、张田坑村102.78公顷。落实永久基本农田核实处置任务</w:t>
            </w:r>
            <w:r>
              <w:rPr>
                <w:rFonts w:hint="eastAsia"/>
                <w:color w:val="000000" w:themeColor="text1"/>
                <w:highlight w:val="none"/>
                <w14:textFill>
                  <w14:solidFill>
                    <w14:schemeClr w14:val="tx1"/>
                  </w14:solidFill>
                </w14:textFill>
              </w:rPr>
              <w:t>8.23</w:t>
            </w:r>
            <w:r>
              <w:rPr>
                <w:color w:val="000000" w:themeColor="text1"/>
                <w:highlight w:val="none"/>
                <w14:textFill>
                  <w14:solidFill>
                    <w14:schemeClr w14:val="tx1"/>
                  </w14:solidFill>
                </w14:textFill>
              </w:rPr>
              <w:t>公顷。</w:t>
            </w:r>
            <w:r>
              <w:rPr>
                <w:rFonts w:hint="eastAsia"/>
                <w:color w:val="000000" w:themeColor="text1"/>
                <w:highlight w:val="none"/>
                <w14:textFill>
                  <w14:solidFill>
                    <w14:schemeClr w14:val="tx1"/>
                  </w14:solidFill>
                </w14:textFill>
              </w:rPr>
              <w:t>其中大陂村0.47公顷、横岭村0.13公顷、军三村0.16公顷、军一村0.54公顷、路下村1.60公顷、罗陂村0.09公顷、坪山村0.19公顷、上湾村0.29公顷、潭石村1.05公顷、湾田村0.19公顷、文义村0.28公顷、秀坑村1.55公顷、秀田村1.05公顷、雅盖村0.15公顷、雅坑村0.42公顷、张田坑村0.07公顷。</w:t>
            </w:r>
          </w:p>
          <w:p>
            <w:pPr>
              <w:widowControl/>
              <w:rPr>
                <w:color w:val="000000" w:themeColor="text1"/>
                <w:highlight w:val="none"/>
                <w:lang w:bidi="ar"/>
                <w14:textFill>
                  <w14:solidFill>
                    <w14:schemeClr w14:val="tx1"/>
                  </w14:solidFill>
                </w14:textFill>
              </w:rPr>
            </w:pPr>
            <w:r>
              <w:rPr>
                <w:rFonts w:hint="eastAsia"/>
                <w:color w:val="000000" w:themeColor="text1"/>
                <w:highlight w:val="none"/>
                <w14:textFill>
                  <w14:solidFill>
                    <w14:schemeClr w14:val="tx1"/>
                  </w14:solidFill>
                </w14:textFill>
              </w:rPr>
              <w:t>（二）</w:t>
            </w:r>
            <w:r>
              <w:rPr>
                <w:color w:val="000000" w:themeColor="text1"/>
                <w:highlight w:val="none"/>
                <w:lang w:bidi="ar"/>
                <w14:textFill>
                  <w14:solidFill>
                    <w14:schemeClr w14:val="tx1"/>
                  </w14:solidFill>
                </w14:textFill>
              </w:rPr>
              <w:t>严格落实生态保护红线，禁止在生态保护红线范围内从事不符合</w:t>
            </w:r>
            <w:r>
              <w:rPr>
                <w:rFonts w:hint="eastAsia"/>
                <w:color w:val="000000" w:themeColor="text1"/>
                <w:highlight w:val="none"/>
                <w:lang w:bidi="ar"/>
                <w14:textFill>
                  <w14:solidFill>
                    <w14:schemeClr w14:val="tx1"/>
                  </w14:solidFill>
                </w14:textFill>
              </w:rPr>
              <w:t>相关管控</w:t>
            </w:r>
            <w:r>
              <w:rPr>
                <w:color w:val="000000" w:themeColor="text1"/>
                <w:highlight w:val="none"/>
                <w:lang w:bidi="ar"/>
                <w14:textFill>
                  <w14:solidFill>
                    <w14:schemeClr w14:val="tx1"/>
                  </w14:solidFill>
                </w14:textFill>
              </w:rPr>
              <w:t>规定的建设活动</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确需在生态保护红线内建设的，应符合生态保护红线管控要求，并按规定办理相关手续。</w:t>
            </w:r>
            <w:r>
              <w:rPr>
                <w:rFonts w:hint="eastAsia"/>
                <w:color w:val="000000" w:themeColor="text1"/>
                <w:highlight w:val="none"/>
                <w:lang w:bidi="ar"/>
                <w14:textFill>
                  <w14:solidFill>
                    <w14:schemeClr w14:val="tx1"/>
                  </w14:solidFill>
                </w14:textFill>
              </w:rPr>
              <w:t>本镇落实</w:t>
            </w:r>
            <w:r>
              <w:rPr>
                <w:color w:val="000000" w:themeColor="text1"/>
                <w:highlight w:val="none"/>
                <w:lang w:bidi="ar"/>
                <w14:textFill>
                  <w14:solidFill>
                    <w14:schemeClr w14:val="tx1"/>
                  </w14:solidFill>
                </w14:textFill>
              </w:rPr>
              <w:t>生态保护红线面积22725</w:t>
            </w:r>
            <w:r>
              <w:rPr>
                <w:rFonts w:hint="eastAsia"/>
                <w:color w:val="000000" w:themeColor="text1"/>
                <w:highlight w:val="none"/>
                <w:lang w:bidi="ar"/>
                <w14:textFill>
                  <w14:solidFill>
                    <w14:schemeClr w14:val="tx1"/>
                  </w14:solidFill>
                </w14:textFill>
              </w:rPr>
              <w:t>.28</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其中层坑村</w:t>
            </w:r>
            <w:r>
              <w:rPr>
                <w:color w:val="000000" w:themeColor="text1"/>
                <w:highlight w:val="none"/>
                <w14:textFill>
                  <w14:solidFill>
                    <w14:schemeClr w14:val="tx1"/>
                  </w14:solidFill>
                </w14:textFill>
              </w:rPr>
              <w:t>1909.</w:t>
            </w:r>
            <w:r>
              <w:rPr>
                <w:rFonts w:hint="eastAsia"/>
                <w:color w:val="000000" w:themeColor="text1"/>
                <w:highlight w:val="none"/>
                <w14:textFill>
                  <w14:solidFill>
                    <w14:schemeClr w14:val="tx1"/>
                  </w14:solidFill>
                </w14:textFill>
              </w:rPr>
              <w:t>63</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大陂村</w:t>
            </w:r>
            <w:r>
              <w:rPr>
                <w:color w:val="000000" w:themeColor="text1"/>
                <w:highlight w:val="none"/>
                <w14:textFill>
                  <w14:solidFill>
                    <w14:schemeClr w14:val="tx1"/>
                  </w14:solidFill>
                </w14:textFill>
              </w:rPr>
              <w:t>1922.</w:t>
            </w:r>
            <w:r>
              <w:rPr>
                <w:rFonts w:hint="eastAsia"/>
                <w:color w:val="000000" w:themeColor="text1"/>
                <w:highlight w:val="none"/>
                <w14:textFill>
                  <w14:solidFill>
                    <w14:schemeClr w14:val="tx1"/>
                  </w14:solidFill>
                </w14:textFill>
              </w:rPr>
              <w:t>16</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福水村</w:t>
            </w:r>
            <w:r>
              <w:rPr>
                <w:color w:val="000000" w:themeColor="text1"/>
                <w:highlight w:val="none"/>
                <w14:textFill>
                  <w14:solidFill>
                    <w14:schemeClr w14:val="tx1"/>
                  </w14:solidFill>
                </w14:textFill>
              </w:rPr>
              <w:t>13.09</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横岭村</w:t>
            </w:r>
            <w:r>
              <w:rPr>
                <w:color w:val="000000" w:themeColor="text1"/>
                <w:highlight w:val="none"/>
                <w14:textFill>
                  <w14:solidFill>
                    <w14:schemeClr w14:val="tx1"/>
                  </w14:solidFill>
                </w14:textFill>
              </w:rPr>
              <w:t>2187.</w:t>
            </w:r>
            <w:r>
              <w:rPr>
                <w:rFonts w:hint="eastAsia"/>
                <w:color w:val="000000" w:themeColor="text1"/>
                <w:highlight w:val="none"/>
                <w14:textFill>
                  <w14:solidFill>
                    <w14:schemeClr w14:val="tx1"/>
                  </w14:solidFill>
                </w14:textFill>
              </w:rPr>
              <w:t>89</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湖塘村</w:t>
            </w:r>
            <w:r>
              <w:rPr>
                <w:color w:val="000000" w:themeColor="text1"/>
                <w:highlight w:val="none"/>
                <w14:textFill>
                  <w14:solidFill>
                    <w14:schemeClr w14:val="tx1"/>
                  </w14:solidFill>
                </w14:textFill>
              </w:rPr>
              <w:t>5.99</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lang w:eastAsia="zh-CN"/>
                <w14:textFill>
                  <w14:solidFill>
                    <w14:schemeClr w14:val="tx1"/>
                  </w14:solidFill>
                </w14:textFill>
              </w:rPr>
              <w:t>姜坑</w:t>
            </w:r>
            <w:r>
              <w:rPr>
                <w:rFonts w:hint="eastAsia"/>
                <w:color w:val="000000" w:themeColor="text1"/>
                <w:highlight w:val="none"/>
                <w14:textFill>
                  <w14:solidFill>
                    <w14:schemeClr w14:val="tx1"/>
                  </w14:solidFill>
                </w14:textFill>
              </w:rPr>
              <w:t>村</w:t>
            </w:r>
            <w:r>
              <w:rPr>
                <w:color w:val="000000" w:themeColor="text1"/>
                <w:highlight w:val="none"/>
                <w14:textFill>
                  <w14:solidFill>
                    <w14:schemeClr w14:val="tx1"/>
                  </w14:solidFill>
                </w14:textFill>
              </w:rPr>
              <w:t>34.07</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军二村</w:t>
            </w:r>
            <w:r>
              <w:rPr>
                <w:color w:val="000000" w:themeColor="text1"/>
                <w:highlight w:val="none"/>
                <w14:textFill>
                  <w14:solidFill>
                    <w14:schemeClr w14:val="tx1"/>
                  </w14:solidFill>
                </w14:textFill>
              </w:rPr>
              <w:t>28.94</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军三村</w:t>
            </w:r>
            <w:r>
              <w:rPr>
                <w:color w:val="000000" w:themeColor="text1"/>
                <w:highlight w:val="none"/>
                <w14:textFill>
                  <w14:solidFill>
                    <w14:schemeClr w14:val="tx1"/>
                  </w14:solidFill>
                </w14:textFill>
              </w:rPr>
              <w:t>73.55</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军一村</w:t>
            </w:r>
            <w:r>
              <w:rPr>
                <w:color w:val="000000" w:themeColor="text1"/>
                <w:highlight w:val="none"/>
                <w14:textFill>
                  <w14:solidFill>
                    <w14:schemeClr w14:val="tx1"/>
                  </w14:solidFill>
                </w14:textFill>
              </w:rPr>
              <w:t>10.44</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科罗村</w:t>
            </w:r>
            <w:r>
              <w:rPr>
                <w:color w:val="000000" w:themeColor="text1"/>
                <w:highlight w:val="none"/>
                <w14:textFill>
                  <w14:solidFill>
                    <w14:schemeClr w14:val="tx1"/>
                  </w14:solidFill>
                </w14:textFill>
              </w:rPr>
              <w:t>2689.</w:t>
            </w:r>
            <w:r>
              <w:rPr>
                <w:rFonts w:hint="eastAsia"/>
                <w:color w:val="000000" w:themeColor="text1"/>
                <w:highlight w:val="none"/>
                <w14:textFill>
                  <w14:solidFill>
                    <w14:schemeClr w14:val="tx1"/>
                  </w14:solidFill>
                </w14:textFill>
              </w:rPr>
              <w:t>08</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路下村</w:t>
            </w:r>
            <w:r>
              <w:rPr>
                <w:color w:val="000000" w:themeColor="text1"/>
                <w:highlight w:val="none"/>
                <w14:textFill>
                  <w14:solidFill>
                    <w14:schemeClr w14:val="tx1"/>
                  </w14:solidFill>
                </w14:textFill>
              </w:rPr>
              <w:t>1025.8</w:t>
            </w:r>
            <w:r>
              <w:rPr>
                <w:rFonts w:hint="eastAsia"/>
                <w:color w:val="000000" w:themeColor="text1"/>
                <w:highlight w:val="none"/>
                <w14:textFill>
                  <w14:solidFill>
                    <w14:schemeClr w14:val="tx1"/>
                  </w14:solidFill>
                </w14:textFill>
              </w:rPr>
              <w:t>4</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罗陂村</w:t>
            </w:r>
            <w:r>
              <w:rPr>
                <w:color w:val="000000" w:themeColor="text1"/>
                <w:highlight w:val="none"/>
                <w14:textFill>
                  <w14:solidFill>
                    <w14:schemeClr w14:val="tx1"/>
                  </w14:solidFill>
                </w14:textFill>
              </w:rPr>
              <w:t>3.65</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坪山村</w:t>
            </w:r>
            <w:r>
              <w:rPr>
                <w:color w:val="000000" w:themeColor="text1"/>
                <w:highlight w:val="none"/>
                <w14:textFill>
                  <w14:solidFill>
                    <w14:schemeClr w14:val="tx1"/>
                  </w14:solidFill>
                </w14:textFill>
              </w:rPr>
              <w:t>663.9</w:t>
            </w:r>
            <w:r>
              <w:rPr>
                <w:rFonts w:hint="eastAsia"/>
                <w:color w:val="000000" w:themeColor="text1"/>
                <w:highlight w:val="none"/>
                <w14:textFill>
                  <w14:solidFill>
                    <w14:schemeClr w14:val="tx1"/>
                  </w14:solidFill>
                </w14:textFill>
              </w:rPr>
              <w:t>3</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上湾村</w:t>
            </w:r>
            <w:r>
              <w:rPr>
                <w:color w:val="000000" w:themeColor="text1"/>
                <w:highlight w:val="none"/>
                <w14:textFill>
                  <w14:solidFill>
                    <w14:schemeClr w14:val="tx1"/>
                  </w14:solidFill>
                </w14:textFill>
              </w:rPr>
              <w:t>1592.</w:t>
            </w:r>
            <w:r>
              <w:rPr>
                <w:rFonts w:hint="eastAsia"/>
                <w:color w:val="000000" w:themeColor="text1"/>
                <w:highlight w:val="none"/>
                <w14:textFill>
                  <w14:solidFill>
                    <w14:schemeClr w14:val="tx1"/>
                  </w14:solidFill>
                </w14:textFill>
              </w:rPr>
              <w:t>86</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石角村</w:t>
            </w:r>
            <w:r>
              <w:rPr>
                <w:color w:val="000000" w:themeColor="text1"/>
                <w:highlight w:val="none"/>
                <w14:textFill>
                  <w14:solidFill>
                    <w14:schemeClr w14:val="tx1"/>
                  </w14:solidFill>
                </w14:textFill>
              </w:rPr>
              <w:t>122.58</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水背村</w:t>
            </w:r>
            <w:r>
              <w:rPr>
                <w:color w:val="000000" w:themeColor="text1"/>
                <w:highlight w:val="none"/>
                <w14:textFill>
                  <w14:solidFill>
                    <w14:schemeClr w14:val="tx1"/>
                  </w14:solidFill>
                </w14:textFill>
              </w:rPr>
              <w:t>1947.</w:t>
            </w:r>
            <w:r>
              <w:rPr>
                <w:rFonts w:hint="eastAsia"/>
                <w:color w:val="000000" w:themeColor="text1"/>
                <w:highlight w:val="none"/>
                <w14:textFill>
                  <w14:solidFill>
                    <w14:schemeClr w14:val="tx1"/>
                  </w14:solidFill>
                </w14:textFill>
              </w:rPr>
              <w:t>69</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潭石村</w:t>
            </w:r>
            <w:r>
              <w:rPr>
                <w:color w:val="000000" w:themeColor="text1"/>
                <w:highlight w:val="none"/>
                <w14:textFill>
                  <w14:solidFill>
                    <w14:schemeClr w14:val="tx1"/>
                  </w14:solidFill>
                </w14:textFill>
              </w:rPr>
              <w:t>51.99</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塘尾村</w:t>
            </w:r>
            <w:r>
              <w:rPr>
                <w:color w:val="000000" w:themeColor="text1"/>
                <w:highlight w:val="none"/>
                <w14:textFill>
                  <w14:solidFill>
                    <w14:schemeClr w14:val="tx1"/>
                  </w14:solidFill>
                </w14:textFill>
              </w:rPr>
              <w:t>2117.</w:t>
            </w:r>
            <w:r>
              <w:rPr>
                <w:rFonts w:hint="eastAsia"/>
                <w:color w:val="000000" w:themeColor="text1"/>
                <w:highlight w:val="none"/>
                <w14:textFill>
                  <w14:solidFill>
                    <w14:schemeClr w14:val="tx1"/>
                  </w14:solidFill>
                </w14:textFill>
              </w:rPr>
              <w:t>18</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桐木山村</w:t>
            </w:r>
            <w:r>
              <w:rPr>
                <w:color w:val="000000" w:themeColor="text1"/>
                <w:highlight w:val="none"/>
                <w14:textFill>
                  <w14:solidFill>
                    <w14:schemeClr w14:val="tx1"/>
                  </w14:solidFill>
                </w14:textFill>
              </w:rPr>
              <w:t>52.43</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湾田村</w:t>
            </w:r>
            <w:r>
              <w:rPr>
                <w:color w:val="000000" w:themeColor="text1"/>
                <w:highlight w:val="none"/>
                <w14:textFill>
                  <w14:solidFill>
                    <w14:schemeClr w14:val="tx1"/>
                  </w14:solidFill>
                </w14:textFill>
              </w:rPr>
              <w:t>324.28</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文义村</w:t>
            </w:r>
            <w:r>
              <w:rPr>
                <w:color w:val="000000" w:themeColor="text1"/>
                <w:highlight w:val="none"/>
                <w14:textFill>
                  <w14:solidFill>
                    <w14:schemeClr w14:val="tx1"/>
                  </w14:solidFill>
                </w14:textFill>
              </w:rPr>
              <w:t>3348.21</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乌石岗村</w:t>
            </w:r>
            <w:r>
              <w:rPr>
                <w:color w:val="000000" w:themeColor="text1"/>
                <w:highlight w:val="none"/>
                <w14:textFill>
                  <w14:solidFill>
                    <w14:schemeClr w14:val="tx1"/>
                  </w14:solidFill>
                </w14:textFill>
              </w:rPr>
              <w:t>26.15</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秀坑村</w:t>
            </w:r>
            <w:r>
              <w:rPr>
                <w:color w:val="000000" w:themeColor="text1"/>
                <w:highlight w:val="none"/>
                <w14:textFill>
                  <w14:solidFill>
                    <w14:schemeClr w14:val="tx1"/>
                  </w14:solidFill>
                </w14:textFill>
              </w:rPr>
              <w:t>18.67</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秀田村</w:t>
            </w:r>
            <w:r>
              <w:rPr>
                <w:color w:val="000000" w:themeColor="text1"/>
                <w:highlight w:val="none"/>
                <w14:textFill>
                  <w14:solidFill>
                    <w14:schemeClr w14:val="tx1"/>
                  </w14:solidFill>
                </w14:textFill>
              </w:rPr>
              <w:t>32.09</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寨下村</w:t>
            </w:r>
            <w:r>
              <w:rPr>
                <w:color w:val="000000" w:themeColor="text1"/>
                <w:highlight w:val="none"/>
                <w14:textFill>
                  <w14:solidFill>
                    <w14:schemeClr w14:val="tx1"/>
                  </w14:solidFill>
                </w14:textFill>
              </w:rPr>
              <w:t>187</w:t>
            </w:r>
            <w:r>
              <w:rPr>
                <w:rFonts w:hint="eastAsia"/>
                <w:color w:val="000000" w:themeColor="text1"/>
                <w:highlight w:val="none"/>
                <w14:textFill>
                  <w14:solidFill>
                    <w14:schemeClr w14:val="tx1"/>
                  </w14:solidFill>
                </w14:textFill>
              </w:rPr>
              <w:t>4.94</w:t>
            </w:r>
            <w:r>
              <w:rPr>
                <w:color w:val="000000" w:themeColor="text1"/>
                <w:highlight w:val="none"/>
                <w:lang w:bidi="ar"/>
                <w14:textFill>
                  <w14:solidFill>
                    <w14:schemeClr w14:val="tx1"/>
                  </w14:solidFill>
                </w14:textFill>
              </w:rPr>
              <w:t>公顷</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张田坑村</w:t>
            </w:r>
            <w:r>
              <w:rPr>
                <w:color w:val="000000" w:themeColor="text1"/>
                <w:highlight w:val="none"/>
                <w14:textFill>
                  <w14:solidFill>
                    <w14:schemeClr w14:val="tx1"/>
                  </w14:solidFill>
                </w14:textFill>
              </w:rPr>
              <w:t>648.0</w:t>
            </w:r>
            <w:r>
              <w:rPr>
                <w:rFonts w:hint="eastAsia"/>
                <w:color w:val="000000" w:themeColor="text1"/>
                <w:highlight w:val="none"/>
                <w14:textFill>
                  <w14:solidFill>
                    <w14:schemeClr w14:val="tx1"/>
                  </w14:solidFill>
                </w14:textFill>
              </w:rPr>
              <w:t>5</w:t>
            </w:r>
            <w:r>
              <w:rPr>
                <w:rFonts w:hint="eastAsia"/>
                <w:color w:val="000000" w:themeColor="text1"/>
                <w:highlight w:val="none"/>
                <w:lang w:bidi="ar"/>
                <w14:textFill>
                  <w14:solidFill>
                    <w14:schemeClr w14:val="tx1"/>
                  </w14:solidFill>
                </w14:textFill>
              </w:rPr>
              <w:t>公顷</w:t>
            </w:r>
            <w:r>
              <w:rPr>
                <w:rFonts w:hint="eastAsia"/>
                <w:color w:val="000000" w:themeColor="text1"/>
                <w:highlight w:val="none"/>
                <w14:textFill>
                  <w14:solidFill>
                    <w14:schemeClr w14:val="tx1"/>
                  </w14:solidFill>
                </w14:textFill>
              </w:rPr>
              <w:t>。</w:t>
            </w:r>
          </w:p>
          <w:p>
            <w:pPr>
              <w:rPr>
                <w:color w:val="000000" w:themeColor="text1"/>
                <w:highlight w:val="none"/>
                <w:lang w:bidi="ar"/>
                <w14:textFill>
                  <w14:solidFill>
                    <w14:schemeClr w14:val="tx1"/>
                  </w14:solidFill>
                </w14:textFill>
              </w:rPr>
            </w:pPr>
            <w:r>
              <w:rPr>
                <w:rFonts w:hint="eastAsia"/>
                <w:color w:val="000000" w:themeColor="text1"/>
                <w:highlight w:val="none"/>
                <w:lang w:bidi="ar"/>
                <w14:textFill>
                  <w14:solidFill>
                    <w14:schemeClr w14:val="tx1"/>
                  </w14:solidFill>
                </w14:textFill>
              </w:rPr>
              <w:t>（三）严格落实历史文化保护线，保护好历史文化保护线范围内历史风貌以及</w:t>
            </w:r>
            <w:r>
              <w:rPr>
                <w:color w:val="000000" w:themeColor="text1"/>
                <w:highlight w:val="none"/>
                <w:lang w:bidi="ar"/>
                <w14:textFill>
                  <w14:solidFill>
                    <w14:schemeClr w14:val="tx1"/>
                  </w14:solidFill>
                </w14:textFill>
              </w:rPr>
              <w:t>古井、围墙、石阶、铺地、古树名木等</w:t>
            </w:r>
            <w:r>
              <w:rPr>
                <w:rFonts w:hint="eastAsia"/>
                <w:color w:val="000000" w:themeColor="text1"/>
                <w:highlight w:val="none"/>
                <w:lang w:bidi="ar"/>
                <w14:textFill>
                  <w14:solidFill>
                    <w14:schemeClr w14:val="tx1"/>
                  </w14:solidFill>
                </w14:textFill>
              </w:rPr>
              <w:t>；禁止在历史文化保护线范围内进行违反保护规划的建设行为；禁止占用或者破坏保护规划确定保留的园林绿地、湖泊水系、道路和古树名木等及其他对保护构成破坏性影响的活动等。本镇历史文化保护线面积1.40公顷。其中路下村0.30公顷、军一村0.14公顷、张田坑村0.36公顷、文义村0.024公顷、潭石村0.13公顷、桐木山村0.068公顷、层坑村0.24公顷、秀田村0.14公顷。</w:t>
            </w:r>
          </w:p>
          <w:p>
            <w:pPr>
              <w:rPr>
                <w:color w:val="000000" w:themeColor="text1"/>
                <w:highlight w:val="none"/>
                <w:lang w:bidi="ar"/>
                <w14:textFill>
                  <w14:solidFill>
                    <w14:schemeClr w14:val="tx1"/>
                  </w14:solidFill>
                </w14:textFill>
              </w:rPr>
            </w:pPr>
            <w:r>
              <w:rPr>
                <w:color w:val="000000" w:themeColor="text1"/>
                <w:highlight w:val="none"/>
                <w:lang w:bidi="ar"/>
                <w14:textFill>
                  <w14:solidFill>
                    <w14:schemeClr w14:val="tx1"/>
                  </w14:solidFill>
                </w14:textFill>
              </w:rPr>
              <w:t>(四)严格落实自然灾害风险防控线。落实洪涝灾害自然灾害风险防控范围,科学实施风险评估和隐患排查,加强重点防治工程建设。本镇洪涝灾害主要分布在板岭下村、层坑村、大陂村、福水村、横岭村、湖塘村、</w:t>
            </w:r>
            <w:r>
              <w:rPr>
                <w:rFonts w:hint="eastAsia"/>
                <w:color w:val="000000" w:themeColor="text1"/>
                <w:highlight w:val="none"/>
                <w:lang w:eastAsia="zh-CN" w:bidi="ar"/>
                <w14:textFill>
                  <w14:solidFill>
                    <w14:schemeClr w14:val="tx1"/>
                  </w14:solidFill>
                </w14:textFill>
              </w:rPr>
              <w:t>姜坑</w:t>
            </w:r>
            <w:r>
              <w:rPr>
                <w:rFonts w:hint="eastAsia"/>
                <w:color w:val="000000" w:themeColor="text1"/>
                <w:highlight w:val="none"/>
                <w:lang w:bidi="ar"/>
                <w14:textFill>
                  <w14:solidFill>
                    <w14:schemeClr w14:val="tx1"/>
                  </w14:solidFill>
                </w14:textFill>
              </w:rPr>
              <w:t>村</w:t>
            </w:r>
            <w:r>
              <w:rPr>
                <w:color w:val="000000" w:themeColor="text1"/>
                <w:highlight w:val="none"/>
                <w:lang w:bidi="ar"/>
                <w14:textFill>
                  <w14:solidFill>
                    <w14:schemeClr w14:val="tx1"/>
                  </w14:solidFill>
                </w14:textFill>
              </w:rPr>
              <w:t>、军三村、军一村、科罗村、岭头村、路下村</w:t>
            </w:r>
            <w:r>
              <w:rPr>
                <w:rFonts w:hint="eastAsia"/>
                <w:color w:val="000000" w:themeColor="text1"/>
                <w:highlight w:val="none"/>
                <w:lang w:bidi="ar"/>
                <w14:textFill>
                  <w14:solidFill>
                    <w14:schemeClr w14:val="tx1"/>
                  </w14:solidFill>
                </w14:textFill>
              </w:rPr>
              <w:t>、罗陂村、上湾村、石角村、水背村、潭石村、塘尾村、桐木山村、湾田村、文义村、乌石岗村、秀坑村、秀田村、雅盖村、雅坑村、寨下村、</w:t>
            </w:r>
            <w:r>
              <w:rPr>
                <w:color w:val="000000" w:themeColor="text1"/>
                <w:highlight w:val="none"/>
                <w:lang w:bidi="ar"/>
                <w14:textFill>
                  <w14:solidFill>
                    <w14:schemeClr w14:val="tx1"/>
                  </w14:solidFill>
                </w14:textFill>
              </w:rPr>
              <w:t>张田坑村。各类建设行为应严格避让山洪、滑坡、泥石流、洪水淹没等灾害易发区域。自然灾害风险防控线内原则上禁止新建农村居民点。现状已建成的建(构)筑物应结合国土综合整治、生态修复工程逐步有序搬迁至安全地段进行异地</w:t>
            </w:r>
            <w:r>
              <w:rPr>
                <w:rFonts w:hint="eastAsia"/>
                <w:color w:val="000000" w:themeColor="text1"/>
                <w:highlight w:val="none"/>
                <w:lang w:bidi="ar"/>
                <w14:textFill>
                  <w14:solidFill>
                    <w14:schemeClr w14:val="tx1"/>
                  </w14:solidFill>
                </w14:textFill>
              </w:rPr>
              <w:t>安置。</w:t>
            </w:r>
          </w:p>
          <w:p>
            <w:pPr>
              <w:pStyle w:val="2"/>
              <w:spacing w:line="560" w:lineRule="exact"/>
              <w:ind w:firstLine="600" w:firstLineChars="200"/>
              <w:jc w:val="left"/>
              <w:rPr>
                <w:color w:val="000000" w:themeColor="text1"/>
                <w:highlight w:val="none"/>
                <w14:textFill>
                  <w14:solidFill>
                    <w14:schemeClr w14:val="tx1"/>
                  </w14:solidFill>
                </w14:textFill>
              </w:rPr>
            </w:pPr>
            <w:r>
              <w:rPr>
                <w:rFonts w:hint="eastAsia" w:eastAsia="仿宋_GB2312" w:cstheme="minorBidi"/>
                <w:color w:val="000000" w:themeColor="text1"/>
                <w:szCs w:val="30"/>
                <w:highlight w:val="none"/>
                <w:lang w:bidi="ar"/>
                <w14:textFill>
                  <w14:solidFill>
                    <w14:schemeClr w14:val="tx1"/>
                  </w14:solidFill>
                </w14:textFill>
              </w:rPr>
              <w:t>（五）严格落实村庄建设边界，各类乡村建设行为原则上应在村庄建设边界内开展，对空间区位有特殊要求的零星文化旅游设施、农业设施、邻避设施项目等，确需在村庄建设边界外选址的，在符合耕地保护、生态保护等政策要求的基础上，可使用规划“留白”机动指标予以保障。本镇村庄建设边界面积</w:t>
            </w:r>
            <w:r>
              <w:rPr>
                <w:rFonts w:hint="eastAsia" w:eastAsia="仿宋_GB2312" w:cstheme="minorBidi"/>
                <w:color w:val="000000" w:themeColor="text1"/>
                <w:szCs w:val="30"/>
                <w:highlight w:val="none"/>
                <w:lang w:val="en-US" w:eastAsia="zh-CN" w:bidi="ar"/>
                <w14:textFill>
                  <w14:solidFill>
                    <w14:schemeClr w14:val="tx1"/>
                  </w14:solidFill>
                </w14:textFill>
              </w:rPr>
              <w:t>783.04</w:t>
            </w:r>
            <w:r>
              <w:rPr>
                <w:rFonts w:hint="eastAsia" w:eastAsia="仿宋_GB2312" w:cstheme="minorBidi"/>
                <w:color w:val="000000" w:themeColor="text1"/>
                <w:szCs w:val="30"/>
                <w:highlight w:val="none"/>
                <w:lang w:bidi="ar"/>
                <w14:textFill>
                  <w14:solidFill>
                    <w14:schemeClr w14:val="tx1"/>
                  </w14:solidFill>
                </w14:textFill>
              </w:rPr>
              <w:t>公顷，其中板岭下村43.6</w:t>
            </w:r>
            <w:r>
              <w:rPr>
                <w:rFonts w:hint="eastAsia" w:eastAsia="仿宋_GB2312" w:cstheme="minorBidi"/>
                <w:color w:val="000000" w:themeColor="text1"/>
                <w:szCs w:val="30"/>
                <w:highlight w:val="none"/>
                <w:lang w:val="en-US" w:eastAsia="zh-CN" w:bidi="ar"/>
                <w14:textFill>
                  <w14:solidFill>
                    <w14:schemeClr w14:val="tx1"/>
                  </w14:solidFill>
                </w14:textFill>
              </w:rPr>
              <w:t>9</w:t>
            </w:r>
            <w:r>
              <w:rPr>
                <w:rFonts w:hint="eastAsia" w:eastAsia="仿宋_GB2312" w:cstheme="minorBidi"/>
                <w:color w:val="000000" w:themeColor="text1"/>
                <w:szCs w:val="30"/>
                <w:highlight w:val="none"/>
                <w:lang w:bidi="ar"/>
                <w14:textFill>
                  <w14:solidFill>
                    <w14:schemeClr w14:val="tx1"/>
                  </w14:solidFill>
                </w14:textFill>
              </w:rPr>
              <w:t>公顷、层坑村</w:t>
            </w:r>
            <w:r>
              <w:rPr>
                <w:rFonts w:hint="eastAsia" w:eastAsia="仿宋_GB2312" w:cstheme="minorBidi"/>
                <w:color w:val="000000" w:themeColor="text1"/>
                <w:szCs w:val="30"/>
                <w:highlight w:val="none"/>
                <w:lang w:val="en-US" w:eastAsia="zh-CN" w:bidi="ar"/>
                <w14:textFill>
                  <w14:solidFill>
                    <w14:schemeClr w14:val="tx1"/>
                  </w14:solidFill>
                </w14:textFill>
              </w:rPr>
              <w:t>44.61</w:t>
            </w:r>
            <w:r>
              <w:rPr>
                <w:rFonts w:hint="eastAsia" w:eastAsia="仿宋_GB2312" w:cstheme="minorBidi"/>
                <w:color w:val="000000" w:themeColor="text1"/>
                <w:szCs w:val="30"/>
                <w:highlight w:val="none"/>
                <w:lang w:bidi="ar"/>
                <w14:textFill>
                  <w14:solidFill>
                    <w14:schemeClr w14:val="tx1"/>
                  </w14:solidFill>
                </w14:textFill>
              </w:rPr>
              <w:t>公顷、大陂村</w:t>
            </w:r>
            <w:r>
              <w:rPr>
                <w:rFonts w:hint="eastAsia" w:eastAsia="仿宋_GB2312" w:cstheme="minorBidi"/>
                <w:color w:val="000000" w:themeColor="text1"/>
                <w:szCs w:val="30"/>
                <w:highlight w:val="none"/>
                <w:lang w:val="en-US" w:eastAsia="zh-CN" w:bidi="ar"/>
                <w14:textFill>
                  <w14:solidFill>
                    <w14:schemeClr w14:val="tx1"/>
                  </w14:solidFill>
                </w14:textFill>
              </w:rPr>
              <w:t>36.92</w:t>
            </w:r>
            <w:r>
              <w:rPr>
                <w:rFonts w:hint="eastAsia" w:eastAsia="仿宋_GB2312" w:cstheme="minorBidi"/>
                <w:color w:val="000000" w:themeColor="text1"/>
                <w:szCs w:val="30"/>
                <w:highlight w:val="none"/>
                <w:lang w:bidi="ar"/>
                <w14:textFill>
                  <w14:solidFill>
                    <w14:schemeClr w14:val="tx1"/>
                  </w14:solidFill>
                </w14:textFill>
              </w:rPr>
              <w:t>公顷、福水村28.</w:t>
            </w:r>
            <w:r>
              <w:rPr>
                <w:rFonts w:hint="eastAsia" w:eastAsia="仿宋_GB2312" w:cstheme="minorBidi"/>
                <w:color w:val="000000" w:themeColor="text1"/>
                <w:szCs w:val="30"/>
                <w:highlight w:val="none"/>
                <w:lang w:val="en-US" w:eastAsia="zh-CN" w:bidi="ar"/>
                <w14:textFill>
                  <w14:solidFill>
                    <w14:schemeClr w14:val="tx1"/>
                  </w14:solidFill>
                </w14:textFill>
              </w:rPr>
              <w:t>29</w:t>
            </w:r>
            <w:r>
              <w:rPr>
                <w:rFonts w:hint="eastAsia" w:eastAsia="仿宋_GB2312" w:cstheme="minorBidi"/>
                <w:color w:val="000000" w:themeColor="text1"/>
                <w:szCs w:val="30"/>
                <w:highlight w:val="none"/>
                <w:lang w:bidi="ar"/>
                <w14:textFill>
                  <w14:solidFill>
                    <w14:schemeClr w14:val="tx1"/>
                  </w14:solidFill>
                </w14:textFill>
              </w:rPr>
              <w:t>公顷、横岭村</w:t>
            </w:r>
            <w:r>
              <w:rPr>
                <w:rFonts w:hint="eastAsia" w:eastAsia="仿宋_GB2312" w:cstheme="minorBidi"/>
                <w:color w:val="000000" w:themeColor="text1"/>
                <w:szCs w:val="30"/>
                <w:highlight w:val="none"/>
                <w:lang w:val="en-US" w:eastAsia="zh-CN" w:bidi="ar"/>
                <w14:textFill>
                  <w14:solidFill>
                    <w14:schemeClr w14:val="tx1"/>
                  </w14:solidFill>
                </w14:textFill>
              </w:rPr>
              <w:t>12.08</w:t>
            </w:r>
            <w:r>
              <w:rPr>
                <w:rFonts w:hint="eastAsia" w:eastAsia="仿宋_GB2312" w:cstheme="minorBidi"/>
                <w:color w:val="000000" w:themeColor="text1"/>
                <w:szCs w:val="30"/>
                <w:highlight w:val="none"/>
                <w:lang w:bidi="ar"/>
                <w14:textFill>
                  <w14:solidFill>
                    <w14:schemeClr w14:val="tx1"/>
                  </w14:solidFill>
                </w14:textFill>
              </w:rPr>
              <w:t>公顷、湖塘村</w:t>
            </w:r>
            <w:r>
              <w:rPr>
                <w:rFonts w:hint="eastAsia" w:eastAsia="仿宋_GB2312" w:cstheme="minorBidi"/>
                <w:color w:val="000000" w:themeColor="text1"/>
                <w:szCs w:val="30"/>
                <w:highlight w:val="none"/>
                <w:lang w:val="en-US" w:eastAsia="zh-CN" w:bidi="ar"/>
                <w14:textFill>
                  <w14:solidFill>
                    <w14:schemeClr w14:val="tx1"/>
                  </w14:solidFill>
                </w14:textFill>
              </w:rPr>
              <w:t>12.87</w:t>
            </w:r>
            <w:r>
              <w:rPr>
                <w:rFonts w:hint="eastAsia" w:eastAsia="仿宋_GB2312" w:cstheme="minorBidi"/>
                <w:color w:val="000000" w:themeColor="text1"/>
                <w:szCs w:val="30"/>
                <w:highlight w:val="none"/>
                <w:lang w:bidi="ar"/>
                <w14:textFill>
                  <w14:solidFill>
                    <w14:schemeClr w14:val="tx1"/>
                  </w14:solidFill>
                </w14:textFill>
              </w:rPr>
              <w:t>公顷、</w:t>
            </w:r>
            <w:r>
              <w:rPr>
                <w:rFonts w:hint="eastAsia" w:eastAsia="仿宋_GB2312" w:cstheme="minorBidi"/>
                <w:color w:val="000000" w:themeColor="text1"/>
                <w:szCs w:val="30"/>
                <w:highlight w:val="none"/>
                <w:lang w:eastAsia="zh-CN" w:bidi="ar"/>
                <w14:textFill>
                  <w14:solidFill>
                    <w14:schemeClr w14:val="tx1"/>
                  </w14:solidFill>
                </w14:textFill>
              </w:rPr>
              <w:t>姜坑</w:t>
            </w:r>
            <w:r>
              <w:rPr>
                <w:rFonts w:hint="eastAsia" w:eastAsia="仿宋_GB2312" w:cstheme="minorBidi"/>
                <w:color w:val="000000" w:themeColor="text1"/>
                <w:szCs w:val="30"/>
                <w:highlight w:val="none"/>
                <w:lang w:bidi="ar"/>
                <w14:textFill>
                  <w14:solidFill>
                    <w14:schemeClr w14:val="tx1"/>
                  </w14:solidFill>
                </w14:textFill>
              </w:rPr>
              <w:t>村</w:t>
            </w:r>
            <w:r>
              <w:rPr>
                <w:rFonts w:hint="eastAsia" w:eastAsia="仿宋_GB2312" w:cstheme="minorBidi"/>
                <w:color w:val="000000" w:themeColor="text1"/>
                <w:szCs w:val="30"/>
                <w:highlight w:val="none"/>
                <w:lang w:val="en-US" w:eastAsia="zh-CN" w:bidi="ar"/>
                <w14:textFill>
                  <w14:solidFill>
                    <w14:schemeClr w14:val="tx1"/>
                  </w14:solidFill>
                </w14:textFill>
              </w:rPr>
              <w:t>38.19</w:t>
            </w:r>
            <w:r>
              <w:rPr>
                <w:rFonts w:hint="eastAsia" w:eastAsia="仿宋_GB2312" w:cstheme="minorBidi"/>
                <w:color w:val="000000" w:themeColor="text1"/>
                <w:szCs w:val="30"/>
                <w:highlight w:val="none"/>
                <w:lang w:bidi="ar"/>
                <w14:textFill>
                  <w14:solidFill>
                    <w14:schemeClr w14:val="tx1"/>
                  </w14:solidFill>
                </w14:textFill>
              </w:rPr>
              <w:t>公顷、军二村</w:t>
            </w:r>
            <w:r>
              <w:rPr>
                <w:rFonts w:hint="eastAsia" w:eastAsia="仿宋_GB2312" w:cstheme="minorBidi"/>
                <w:color w:val="000000" w:themeColor="text1"/>
                <w:szCs w:val="30"/>
                <w:highlight w:val="none"/>
                <w:lang w:val="en-US" w:eastAsia="zh-CN" w:bidi="ar"/>
                <w14:textFill>
                  <w14:solidFill>
                    <w14:schemeClr w14:val="tx1"/>
                  </w14:solidFill>
                </w14:textFill>
              </w:rPr>
              <w:t>14.39</w:t>
            </w:r>
            <w:r>
              <w:rPr>
                <w:rFonts w:hint="eastAsia" w:eastAsia="仿宋_GB2312" w:cstheme="minorBidi"/>
                <w:color w:val="000000" w:themeColor="text1"/>
                <w:szCs w:val="30"/>
                <w:highlight w:val="none"/>
                <w:lang w:bidi="ar"/>
                <w14:textFill>
                  <w14:solidFill>
                    <w14:schemeClr w14:val="tx1"/>
                  </w14:solidFill>
                </w14:textFill>
              </w:rPr>
              <w:t>公顷、军三村</w:t>
            </w:r>
            <w:r>
              <w:rPr>
                <w:rFonts w:hint="eastAsia" w:eastAsia="仿宋_GB2312" w:cstheme="minorBidi"/>
                <w:color w:val="000000" w:themeColor="text1"/>
                <w:szCs w:val="30"/>
                <w:highlight w:val="none"/>
                <w:lang w:val="en-US" w:eastAsia="zh-CN" w:bidi="ar"/>
                <w14:textFill>
                  <w14:solidFill>
                    <w14:schemeClr w14:val="tx1"/>
                  </w14:solidFill>
                </w14:textFill>
              </w:rPr>
              <w:t>31.10</w:t>
            </w:r>
            <w:r>
              <w:rPr>
                <w:rFonts w:hint="eastAsia" w:eastAsia="仿宋_GB2312" w:cstheme="minorBidi"/>
                <w:color w:val="000000" w:themeColor="text1"/>
                <w:szCs w:val="30"/>
                <w:highlight w:val="none"/>
                <w:lang w:bidi="ar"/>
                <w14:textFill>
                  <w14:solidFill>
                    <w14:schemeClr w14:val="tx1"/>
                  </w14:solidFill>
                </w14:textFill>
              </w:rPr>
              <w:t>公顷、军一村</w:t>
            </w:r>
            <w:r>
              <w:rPr>
                <w:rFonts w:hint="eastAsia" w:eastAsia="仿宋_GB2312" w:cstheme="minorBidi"/>
                <w:color w:val="000000" w:themeColor="text1"/>
                <w:szCs w:val="30"/>
                <w:highlight w:val="none"/>
                <w:lang w:val="en-US" w:eastAsia="zh-CN" w:bidi="ar"/>
                <w14:textFill>
                  <w14:solidFill>
                    <w14:schemeClr w14:val="tx1"/>
                  </w14:solidFill>
                </w14:textFill>
              </w:rPr>
              <w:t>36.38</w:t>
            </w:r>
            <w:r>
              <w:rPr>
                <w:rFonts w:hint="eastAsia" w:eastAsia="仿宋_GB2312" w:cstheme="minorBidi"/>
                <w:color w:val="000000" w:themeColor="text1"/>
                <w:szCs w:val="30"/>
                <w:highlight w:val="none"/>
                <w:lang w:bidi="ar"/>
                <w14:textFill>
                  <w14:solidFill>
                    <w14:schemeClr w14:val="tx1"/>
                  </w14:solidFill>
                </w14:textFill>
              </w:rPr>
              <w:t>公顷、科罗村</w:t>
            </w:r>
            <w:r>
              <w:rPr>
                <w:rFonts w:hint="eastAsia" w:eastAsia="仿宋_GB2312" w:cstheme="minorBidi"/>
                <w:color w:val="000000" w:themeColor="text1"/>
                <w:szCs w:val="30"/>
                <w:highlight w:val="none"/>
                <w:lang w:val="en-US" w:eastAsia="zh-CN" w:bidi="ar"/>
                <w14:textFill>
                  <w14:solidFill>
                    <w14:schemeClr w14:val="tx1"/>
                  </w14:solidFill>
                </w14:textFill>
              </w:rPr>
              <w:t>10.46</w:t>
            </w:r>
            <w:r>
              <w:rPr>
                <w:rFonts w:hint="eastAsia" w:eastAsia="仿宋_GB2312" w:cstheme="minorBidi"/>
                <w:color w:val="000000" w:themeColor="text1"/>
                <w:szCs w:val="30"/>
                <w:highlight w:val="none"/>
                <w:lang w:bidi="ar"/>
                <w14:textFill>
                  <w14:solidFill>
                    <w14:schemeClr w14:val="tx1"/>
                  </w14:solidFill>
                </w14:textFill>
              </w:rPr>
              <w:t>公顷、岭头村</w:t>
            </w:r>
            <w:r>
              <w:rPr>
                <w:rFonts w:hint="eastAsia" w:eastAsia="仿宋_GB2312" w:cstheme="minorBidi"/>
                <w:color w:val="000000" w:themeColor="text1"/>
                <w:szCs w:val="30"/>
                <w:highlight w:val="none"/>
                <w:lang w:val="en-US" w:eastAsia="zh-CN" w:bidi="ar"/>
                <w14:textFill>
                  <w14:solidFill>
                    <w14:schemeClr w14:val="tx1"/>
                  </w14:solidFill>
                </w14:textFill>
              </w:rPr>
              <w:t>14.95</w:t>
            </w:r>
            <w:r>
              <w:rPr>
                <w:rFonts w:hint="eastAsia" w:eastAsia="仿宋_GB2312" w:cstheme="minorBidi"/>
                <w:color w:val="000000" w:themeColor="text1"/>
                <w:szCs w:val="30"/>
                <w:highlight w:val="none"/>
                <w:lang w:bidi="ar"/>
                <w14:textFill>
                  <w14:solidFill>
                    <w14:schemeClr w14:val="tx1"/>
                  </w14:solidFill>
                </w14:textFill>
              </w:rPr>
              <w:t>公顷、路下村</w:t>
            </w:r>
            <w:r>
              <w:rPr>
                <w:rFonts w:hint="eastAsia" w:eastAsia="仿宋_GB2312" w:cstheme="minorBidi"/>
                <w:color w:val="000000" w:themeColor="text1"/>
                <w:szCs w:val="30"/>
                <w:highlight w:val="none"/>
                <w:lang w:val="en-US" w:eastAsia="zh-CN" w:bidi="ar"/>
                <w14:textFill>
                  <w14:solidFill>
                    <w14:schemeClr w14:val="tx1"/>
                  </w14:solidFill>
                </w14:textFill>
              </w:rPr>
              <w:t>30.90</w:t>
            </w:r>
            <w:r>
              <w:rPr>
                <w:rFonts w:hint="eastAsia" w:eastAsia="仿宋_GB2312" w:cstheme="minorBidi"/>
                <w:color w:val="000000" w:themeColor="text1"/>
                <w:szCs w:val="30"/>
                <w:highlight w:val="none"/>
                <w:lang w:bidi="ar"/>
                <w14:textFill>
                  <w14:solidFill>
                    <w14:schemeClr w14:val="tx1"/>
                  </w14:solidFill>
                </w14:textFill>
              </w:rPr>
              <w:t>公顷、罗陂村29.8</w:t>
            </w:r>
            <w:r>
              <w:rPr>
                <w:rFonts w:hint="eastAsia" w:eastAsia="仿宋_GB2312" w:cstheme="minorBidi"/>
                <w:color w:val="000000" w:themeColor="text1"/>
                <w:szCs w:val="30"/>
                <w:highlight w:val="none"/>
                <w:lang w:val="en-US" w:eastAsia="zh-CN" w:bidi="ar"/>
                <w14:textFill>
                  <w14:solidFill>
                    <w14:schemeClr w14:val="tx1"/>
                  </w14:solidFill>
                </w14:textFill>
              </w:rPr>
              <w:t>5</w:t>
            </w:r>
            <w:r>
              <w:rPr>
                <w:rFonts w:hint="eastAsia" w:eastAsia="仿宋_GB2312" w:cstheme="minorBidi"/>
                <w:color w:val="000000" w:themeColor="text1"/>
                <w:szCs w:val="30"/>
                <w:highlight w:val="none"/>
                <w:lang w:bidi="ar"/>
                <w14:textFill>
                  <w14:solidFill>
                    <w14:schemeClr w14:val="tx1"/>
                  </w14:solidFill>
                </w14:textFill>
              </w:rPr>
              <w:t>公顷、马头镇林场0.70公顷、坪山村22.</w:t>
            </w:r>
            <w:r>
              <w:rPr>
                <w:rFonts w:hint="eastAsia" w:eastAsia="仿宋_GB2312" w:cstheme="minorBidi"/>
                <w:color w:val="000000" w:themeColor="text1"/>
                <w:szCs w:val="30"/>
                <w:highlight w:val="none"/>
                <w:lang w:val="en-US" w:eastAsia="zh-CN" w:bidi="ar"/>
                <w14:textFill>
                  <w14:solidFill>
                    <w14:schemeClr w14:val="tx1"/>
                  </w14:solidFill>
                </w14:textFill>
              </w:rPr>
              <w:t>96</w:t>
            </w:r>
            <w:r>
              <w:rPr>
                <w:rFonts w:hint="eastAsia" w:eastAsia="仿宋_GB2312" w:cstheme="minorBidi"/>
                <w:color w:val="000000" w:themeColor="text1"/>
                <w:szCs w:val="30"/>
                <w:highlight w:val="none"/>
                <w:lang w:bidi="ar"/>
                <w14:textFill>
                  <w14:solidFill>
                    <w14:schemeClr w14:val="tx1"/>
                  </w14:solidFill>
                </w14:textFill>
              </w:rPr>
              <w:t>公顷、上湾村26.</w:t>
            </w:r>
            <w:r>
              <w:rPr>
                <w:rFonts w:hint="eastAsia" w:eastAsia="仿宋_GB2312" w:cstheme="minorBidi"/>
                <w:color w:val="000000" w:themeColor="text1"/>
                <w:szCs w:val="30"/>
                <w:highlight w:val="none"/>
                <w:lang w:val="en-US" w:eastAsia="zh-CN" w:bidi="ar"/>
                <w14:textFill>
                  <w14:solidFill>
                    <w14:schemeClr w14:val="tx1"/>
                  </w14:solidFill>
                </w14:textFill>
              </w:rPr>
              <w:t>6</w:t>
            </w:r>
            <w:r>
              <w:rPr>
                <w:rFonts w:hint="eastAsia" w:eastAsia="仿宋_GB2312" w:cstheme="minorBidi"/>
                <w:color w:val="000000" w:themeColor="text1"/>
                <w:szCs w:val="30"/>
                <w:highlight w:val="none"/>
                <w:lang w:bidi="ar"/>
                <w14:textFill>
                  <w14:solidFill>
                    <w14:schemeClr w14:val="tx1"/>
                  </w14:solidFill>
                </w14:textFill>
              </w:rPr>
              <w:t>2公顷、石角村</w:t>
            </w:r>
            <w:r>
              <w:rPr>
                <w:rFonts w:hint="eastAsia" w:eastAsia="仿宋_GB2312" w:cstheme="minorBidi"/>
                <w:color w:val="000000" w:themeColor="text1"/>
                <w:szCs w:val="30"/>
                <w:highlight w:val="none"/>
                <w:lang w:val="en-US" w:eastAsia="zh-CN" w:bidi="ar"/>
                <w14:textFill>
                  <w14:solidFill>
                    <w14:schemeClr w14:val="tx1"/>
                  </w14:solidFill>
                </w14:textFill>
              </w:rPr>
              <w:t>23.05</w:t>
            </w:r>
            <w:r>
              <w:rPr>
                <w:rFonts w:hint="eastAsia" w:eastAsia="仿宋_GB2312" w:cstheme="minorBidi"/>
                <w:color w:val="000000" w:themeColor="text1"/>
                <w:szCs w:val="30"/>
                <w:highlight w:val="none"/>
                <w:lang w:bidi="ar"/>
                <w14:textFill>
                  <w14:solidFill>
                    <w14:schemeClr w14:val="tx1"/>
                  </w14:solidFill>
                </w14:textFill>
              </w:rPr>
              <w:t>公顷、水背村8.45公顷、潭石村</w:t>
            </w:r>
            <w:r>
              <w:rPr>
                <w:rFonts w:hint="eastAsia" w:eastAsia="仿宋_GB2312" w:cstheme="minorBidi"/>
                <w:color w:val="000000" w:themeColor="text1"/>
                <w:szCs w:val="30"/>
                <w:highlight w:val="none"/>
                <w:lang w:val="en-US" w:eastAsia="zh-CN" w:bidi="ar"/>
                <w14:textFill>
                  <w14:solidFill>
                    <w14:schemeClr w14:val="tx1"/>
                  </w14:solidFill>
                </w14:textFill>
              </w:rPr>
              <w:t>52.29</w:t>
            </w:r>
            <w:r>
              <w:rPr>
                <w:rFonts w:hint="eastAsia" w:eastAsia="仿宋_GB2312" w:cstheme="minorBidi"/>
                <w:color w:val="000000" w:themeColor="text1"/>
                <w:szCs w:val="30"/>
                <w:highlight w:val="none"/>
                <w:lang w:bidi="ar"/>
                <w14:textFill>
                  <w14:solidFill>
                    <w14:schemeClr w14:val="tx1"/>
                  </w14:solidFill>
                </w14:textFill>
              </w:rPr>
              <w:t>公顷、塘尾村11.80公顷、桐木山村17.</w:t>
            </w:r>
            <w:r>
              <w:rPr>
                <w:rFonts w:hint="eastAsia" w:eastAsia="仿宋_GB2312" w:cstheme="minorBidi"/>
                <w:color w:val="000000" w:themeColor="text1"/>
                <w:szCs w:val="30"/>
                <w:highlight w:val="none"/>
                <w:lang w:val="en-US" w:eastAsia="zh-CN" w:bidi="ar"/>
                <w14:textFill>
                  <w14:solidFill>
                    <w14:schemeClr w14:val="tx1"/>
                  </w14:solidFill>
                </w14:textFill>
              </w:rPr>
              <w:t>10</w:t>
            </w:r>
            <w:r>
              <w:rPr>
                <w:rFonts w:hint="eastAsia" w:eastAsia="仿宋_GB2312" w:cstheme="minorBidi"/>
                <w:color w:val="000000" w:themeColor="text1"/>
                <w:szCs w:val="30"/>
                <w:highlight w:val="none"/>
                <w:lang w:bidi="ar"/>
                <w14:textFill>
                  <w14:solidFill>
                    <w14:schemeClr w14:val="tx1"/>
                  </w14:solidFill>
                </w14:textFill>
              </w:rPr>
              <w:t>公顷、湾田村40.</w:t>
            </w:r>
            <w:r>
              <w:rPr>
                <w:rFonts w:hint="eastAsia" w:eastAsia="仿宋_GB2312" w:cstheme="minorBidi"/>
                <w:color w:val="000000" w:themeColor="text1"/>
                <w:szCs w:val="30"/>
                <w:highlight w:val="none"/>
                <w:lang w:val="en-US" w:eastAsia="zh-CN" w:bidi="ar"/>
                <w14:textFill>
                  <w14:solidFill>
                    <w14:schemeClr w14:val="tx1"/>
                  </w14:solidFill>
                </w14:textFill>
              </w:rPr>
              <w:t>87</w:t>
            </w:r>
            <w:r>
              <w:rPr>
                <w:rFonts w:hint="eastAsia" w:eastAsia="仿宋_GB2312" w:cstheme="minorBidi"/>
                <w:color w:val="000000" w:themeColor="text1"/>
                <w:szCs w:val="30"/>
                <w:highlight w:val="none"/>
                <w:lang w:bidi="ar"/>
                <w14:textFill>
                  <w14:solidFill>
                    <w14:schemeClr w14:val="tx1"/>
                  </w14:solidFill>
                </w14:textFill>
              </w:rPr>
              <w:t>公顷、文义村14.</w:t>
            </w:r>
            <w:r>
              <w:rPr>
                <w:rFonts w:hint="eastAsia" w:eastAsia="仿宋_GB2312" w:cstheme="minorBidi"/>
                <w:color w:val="000000" w:themeColor="text1"/>
                <w:szCs w:val="30"/>
                <w:highlight w:val="none"/>
                <w:lang w:val="en-US" w:eastAsia="zh-CN" w:bidi="ar"/>
                <w14:textFill>
                  <w14:solidFill>
                    <w14:schemeClr w14:val="tx1"/>
                  </w14:solidFill>
                </w14:textFill>
              </w:rPr>
              <w:t>70</w:t>
            </w:r>
            <w:r>
              <w:rPr>
                <w:rFonts w:hint="eastAsia" w:eastAsia="仿宋_GB2312" w:cstheme="minorBidi"/>
                <w:color w:val="000000" w:themeColor="text1"/>
                <w:szCs w:val="30"/>
                <w:highlight w:val="none"/>
                <w:lang w:bidi="ar"/>
                <w14:textFill>
                  <w14:solidFill>
                    <w14:schemeClr w14:val="tx1"/>
                  </w14:solidFill>
                </w14:textFill>
              </w:rPr>
              <w:t>公顷、乌石岗村</w:t>
            </w:r>
            <w:r>
              <w:rPr>
                <w:rFonts w:hint="eastAsia" w:eastAsia="仿宋_GB2312" w:cstheme="minorBidi"/>
                <w:color w:val="000000" w:themeColor="text1"/>
                <w:szCs w:val="30"/>
                <w:highlight w:val="none"/>
                <w:lang w:val="en-US" w:eastAsia="zh-CN" w:bidi="ar"/>
                <w14:textFill>
                  <w14:solidFill>
                    <w14:schemeClr w14:val="tx1"/>
                  </w14:solidFill>
                </w14:textFill>
              </w:rPr>
              <w:t>20.87</w:t>
            </w:r>
            <w:r>
              <w:rPr>
                <w:rFonts w:hint="eastAsia" w:eastAsia="仿宋_GB2312" w:cstheme="minorBidi"/>
                <w:color w:val="000000" w:themeColor="text1"/>
                <w:szCs w:val="30"/>
                <w:highlight w:val="none"/>
                <w:lang w:bidi="ar"/>
                <w14:textFill>
                  <w14:solidFill>
                    <w14:schemeClr w14:val="tx1"/>
                  </w14:solidFill>
                </w14:textFill>
              </w:rPr>
              <w:t>公顷、秀坑村</w:t>
            </w:r>
            <w:r>
              <w:rPr>
                <w:rFonts w:hint="eastAsia" w:eastAsia="仿宋_GB2312" w:cstheme="minorBidi"/>
                <w:color w:val="000000" w:themeColor="text1"/>
                <w:szCs w:val="30"/>
                <w:highlight w:val="none"/>
                <w:lang w:val="en-US" w:eastAsia="zh-CN" w:bidi="ar"/>
                <w14:textFill>
                  <w14:solidFill>
                    <w14:schemeClr w14:val="tx1"/>
                  </w14:solidFill>
                </w14:textFill>
              </w:rPr>
              <w:t>32.05</w:t>
            </w:r>
            <w:r>
              <w:rPr>
                <w:rFonts w:hint="eastAsia" w:eastAsia="仿宋_GB2312" w:cstheme="minorBidi"/>
                <w:color w:val="000000" w:themeColor="text1"/>
                <w:szCs w:val="30"/>
                <w:highlight w:val="none"/>
                <w:lang w:bidi="ar"/>
                <w14:textFill>
                  <w14:solidFill>
                    <w14:schemeClr w14:val="tx1"/>
                  </w14:solidFill>
                </w14:textFill>
              </w:rPr>
              <w:t>公顷、秀田村</w:t>
            </w:r>
            <w:r>
              <w:rPr>
                <w:rFonts w:hint="eastAsia" w:eastAsia="仿宋_GB2312" w:cstheme="minorBidi"/>
                <w:color w:val="000000" w:themeColor="text1"/>
                <w:szCs w:val="30"/>
                <w:highlight w:val="none"/>
                <w:lang w:val="en-US" w:eastAsia="zh-CN" w:bidi="ar"/>
                <w14:textFill>
                  <w14:solidFill>
                    <w14:schemeClr w14:val="tx1"/>
                  </w14:solidFill>
                </w14:textFill>
              </w:rPr>
              <w:t>29.08</w:t>
            </w:r>
            <w:r>
              <w:rPr>
                <w:rFonts w:hint="eastAsia" w:eastAsia="仿宋_GB2312" w:cstheme="minorBidi"/>
                <w:color w:val="000000" w:themeColor="text1"/>
                <w:szCs w:val="30"/>
                <w:highlight w:val="none"/>
                <w:lang w:bidi="ar"/>
                <w14:textFill>
                  <w14:solidFill>
                    <w14:schemeClr w14:val="tx1"/>
                  </w14:solidFill>
                </w14:textFill>
              </w:rPr>
              <w:t>公顷、雅盖村25.</w:t>
            </w:r>
            <w:r>
              <w:rPr>
                <w:rFonts w:hint="eastAsia" w:eastAsia="仿宋_GB2312" w:cstheme="minorBidi"/>
                <w:color w:val="000000" w:themeColor="text1"/>
                <w:szCs w:val="30"/>
                <w:highlight w:val="none"/>
                <w:lang w:val="en-US" w:eastAsia="zh-CN" w:bidi="ar"/>
                <w14:textFill>
                  <w14:solidFill>
                    <w14:schemeClr w14:val="tx1"/>
                  </w14:solidFill>
                </w14:textFill>
              </w:rPr>
              <w:t>74</w:t>
            </w:r>
            <w:r>
              <w:rPr>
                <w:rFonts w:hint="eastAsia" w:eastAsia="仿宋_GB2312" w:cstheme="minorBidi"/>
                <w:color w:val="000000" w:themeColor="text1"/>
                <w:szCs w:val="30"/>
                <w:highlight w:val="none"/>
                <w:lang w:bidi="ar"/>
                <w14:textFill>
                  <w14:solidFill>
                    <w14:schemeClr w14:val="tx1"/>
                  </w14:solidFill>
                </w14:textFill>
              </w:rPr>
              <w:t>公顷、雅坑村</w:t>
            </w:r>
            <w:r>
              <w:rPr>
                <w:rFonts w:hint="eastAsia" w:eastAsia="仿宋_GB2312" w:cstheme="minorBidi"/>
                <w:color w:val="000000" w:themeColor="text1"/>
                <w:szCs w:val="30"/>
                <w:highlight w:val="none"/>
                <w:lang w:val="en-US" w:eastAsia="zh-CN" w:bidi="ar"/>
                <w14:textFill>
                  <w14:solidFill>
                    <w14:schemeClr w14:val="tx1"/>
                  </w14:solidFill>
                </w14:textFill>
              </w:rPr>
              <w:t>22.10</w:t>
            </w:r>
            <w:r>
              <w:rPr>
                <w:rFonts w:hint="eastAsia" w:eastAsia="仿宋_GB2312" w:cstheme="minorBidi"/>
                <w:color w:val="000000" w:themeColor="text1"/>
                <w:szCs w:val="30"/>
                <w:highlight w:val="none"/>
                <w:lang w:bidi="ar"/>
                <w14:textFill>
                  <w14:solidFill>
                    <w14:schemeClr w14:val="tx1"/>
                  </w14:solidFill>
                </w14:textFill>
              </w:rPr>
              <w:t>公顷、寨下村17.52公顷、张田坑村32.4</w:t>
            </w:r>
            <w:r>
              <w:rPr>
                <w:rFonts w:hint="eastAsia" w:eastAsia="仿宋_GB2312" w:cstheme="minorBidi"/>
                <w:color w:val="000000" w:themeColor="text1"/>
                <w:szCs w:val="30"/>
                <w:highlight w:val="none"/>
                <w:lang w:val="en-US" w:eastAsia="zh-CN" w:bidi="ar"/>
                <w14:textFill>
                  <w14:solidFill>
                    <w14:schemeClr w14:val="tx1"/>
                  </w14:solidFill>
                </w14:textFill>
              </w:rPr>
              <w:t>7</w:t>
            </w:r>
            <w:r>
              <w:rPr>
                <w:rFonts w:hint="eastAsia" w:eastAsia="仿宋_GB2312" w:cstheme="minorBidi"/>
                <w:color w:val="000000" w:themeColor="text1"/>
                <w:szCs w:val="30"/>
                <w:highlight w:val="none"/>
                <w:lang w:bidi="ar"/>
                <w14:textFill>
                  <w14:solidFill>
                    <w14:schemeClr w14:val="tx1"/>
                  </w14:solidFill>
                </w14:textFill>
              </w:rPr>
              <w:t>公顷。</w:t>
            </w:r>
          </w:p>
          <w:p>
            <w:pPr>
              <w:widowControl/>
              <w:numPr>
                <w:ilvl w:val="255"/>
                <w:numId w:val="0"/>
              </w:num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二、农村住房</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（一）农村村民一户只能拥有一处宅基地；避让地质灾害隐患点、洪涝灾害危险地段等；</w:t>
            </w:r>
            <w:r>
              <w:rPr>
                <w:color w:val="000000" w:themeColor="text1"/>
                <w:highlight w:val="none"/>
                <w:lang w:bidi="ar"/>
                <w14:textFill>
                  <w14:solidFill>
                    <w14:schemeClr w14:val="tx1"/>
                  </w14:solidFill>
                </w14:textFill>
              </w:rPr>
              <w:t>严格控制削坡建房</w:t>
            </w:r>
            <w:r>
              <w:rPr>
                <w:rFonts w:hint="eastAsia"/>
                <w:color w:val="000000" w:themeColor="text1"/>
                <w:highlight w:val="none"/>
                <w:lang w:bidi="ar"/>
                <w14:textFill>
                  <w14:solidFill>
                    <w14:schemeClr w14:val="tx1"/>
                  </w14:solidFill>
                </w14:textFill>
              </w:rPr>
              <w:t>；</w:t>
            </w:r>
            <w:r>
              <w:rPr>
                <w:rFonts w:hint="eastAsia"/>
                <w:color w:val="000000" w:themeColor="text1"/>
                <w:highlight w:val="none"/>
                <w14:textFill>
                  <w14:solidFill>
                    <w14:schemeClr w14:val="tx1"/>
                  </w14:solidFill>
                </w14:textFill>
              </w:rPr>
              <w:t>应按规定退让铁路、公路、架空电力线路要求。</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村民住宅选址应优先利用存量建设用地，确需使用新增建设用地且同时满足以下情形的：符合“一户一宅”要求、不涉及永久基本农田和生态保护红线、与现状农村居民点相邻成片、避开地质灾害隐患点、河湖管理范围和洪涝灾害风险控制线，允许按符合国土空间规划办理审批手续。</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（三）宅基地面积按照相关规定标准执行，各县（市、区）人民政府可以结合本地实际作出规定，并向社会公布；建筑层数不超过3层，首层不高于4.5米，其余每层不高于3.5米。</w:t>
            </w:r>
          </w:p>
          <w:p>
            <w:pPr>
              <w:widowControl/>
              <w:numPr>
                <w:ilvl w:val="255"/>
                <w:numId w:val="0"/>
              </w:num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三、乡村公共设施、公用设施和安全设施等</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（一）村级公共服务中心（含文化、体育、医疗卫生等设施）宜布置在位置适中、内外联系方便的地段，方便村民使用。</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（二）乡村公共设施应节约集约用地，充分利用原有闲置宅基地、村内空闲地、村周边的丘陵坡地。公用设施、安全设施建设要符合相关行业标准和管理要求。</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乡村公共设施容积率不超过1.5，公用设施容积率不超过1.2，安全设施容积率不超过1.2，确实需要超过的，进行专项论证，对乡村公共设施、公用设施和安全设施的建筑密度、建筑高度、绿地率不做强行要求，结合方案合理性确定。</w:t>
            </w:r>
          </w:p>
          <w:p>
            <w:pPr>
              <w:widowControl/>
              <w:numPr>
                <w:ilvl w:val="255"/>
                <w:numId w:val="0"/>
              </w:num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四、乡村产业项目</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（一）规模较大、工业化程度高、分散布局配套设施成本高的产业项目宜在产业园区内布局，具有一定规模的农产品加工宜在县城或有条件的乡镇城镇开发边界内集中布局。</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（二）直接服务种植养殖业的农产品加工、电子商务、仓储保鲜冷链、产地低温直销配送等产业，原则上应集中在行政村村庄建设边界内。</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利用农村本地资源开展农产品初加工、发展休闲观光旅游而必须的配套设施建设，可在不占用永久基本农田和生态保护红线、不突破国土空间规划建设用地指标等约束条件、不破坏生态环境和乡村风貌的前提下，在村庄建设边界外安排少量建设用地。</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（四）工业用地应符合《工业项目建设用地控制指标》关于容积率、建筑密度的要求，绿地率控制在20%以下，建筑限高不作强制性要求，但应符合行业标准及消防安全要求。</w:t>
            </w:r>
          </w:p>
          <w:p>
            <w:pPr>
              <w:spacing w:line="5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（五）商业用地按容积率不大于2.5，建筑密度不大于50％，绿地率建议下限15％，建筑限高不作强制性要求，但应符合行业标准及消防安全要求。</w:t>
            </w:r>
          </w:p>
          <w:p>
            <w:pPr>
              <w:widowControl/>
              <w:numPr>
                <w:ilvl w:val="255"/>
                <w:numId w:val="0"/>
              </w:num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 xml:space="preserve">五、乡村风貌管控 </w:t>
            </w:r>
          </w:p>
          <w:p>
            <w:pPr>
              <w:widowControl/>
              <w:ind w:firstLineChars="0"/>
              <w:rPr>
                <w:color w:val="000000" w:themeColor="text1"/>
                <w:highlight w:val="none"/>
                <w:lang w:bidi="ar"/>
                <w14:textFill>
                  <w14:solidFill>
                    <w14:schemeClr w14:val="tx1"/>
                  </w14:solidFill>
                </w14:textFill>
              </w:rPr>
            </w:pPr>
            <w:r>
              <w:rPr>
                <w:rFonts w:hint="eastAsia"/>
                <w:color w:val="000000" w:themeColor="text1"/>
                <w:highlight w:val="none"/>
                <w:lang w:bidi="ar"/>
                <w14:textFill>
                  <w14:solidFill>
                    <w14:schemeClr w14:val="tx1"/>
                  </w14:solidFill>
                </w14:textFill>
              </w:rPr>
              <w:t>（一）</w:t>
            </w:r>
            <w:r>
              <w:rPr>
                <w:color w:val="000000" w:themeColor="text1"/>
                <w:highlight w:val="none"/>
                <w:lang w:bidi="ar"/>
                <w14:textFill>
                  <w14:solidFill>
                    <w14:schemeClr w14:val="tx1"/>
                  </w14:solidFill>
                </w14:textFill>
              </w:rPr>
              <w:t>加强历史文化保护，保护村庄内水塘、古树、牌坊等节点，并可结合周边环境特点增设休闲设施，打造公园、广场。 鼓励庭院绿化，</w:t>
            </w:r>
            <w:r>
              <w:rPr>
                <w:rFonts w:hint="eastAsia"/>
                <w:color w:val="000000" w:themeColor="text1"/>
                <w:highlight w:val="none"/>
                <w:lang w:bidi="ar"/>
                <w14:textFill>
                  <w14:solidFill>
                    <w14:schemeClr w14:val="tx1"/>
                  </w14:solidFill>
                </w14:textFill>
              </w:rPr>
              <w:t>充分利用“四旁五边”用地绿化美化。</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（二）</w:t>
            </w:r>
            <w:r>
              <w:rPr>
                <w:rFonts w:hint="eastAsia"/>
                <w:color w:val="000000" w:themeColor="text1"/>
                <w:highlight w:val="none"/>
                <w14:textFill>
                  <w14:solidFill>
                    <w14:schemeClr w14:val="tx1"/>
                  </w14:solidFill>
                </w14:textFill>
              </w:rPr>
              <w:t>建筑布局应顺应自然环境，新建建筑应体现岭南建筑的特色，构建独特的岭南文化。加强农房风貌管控，村庄居民建筑色彩、形态及屋顶、墙面、门窗及围墙应符合乡村风貌及其他规定有关指引。</w:t>
            </w:r>
          </w:p>
          <w:p>
            <w:pPr>
              <w:widowControl/>
              <w:numPr>
                <w:ilvl w:val="255"/>
                <w:numId w:val="0"/>
              </w:num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六、说明</w:t>
            </w:r>
          </w:p>
          <w:p>
            <w:pPr>
              <w:widowControl/>
              <w:ind w:firstLineChars="0"/>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镇域范围内、城镇开发边界外暂无法定“多规合一”实用性村庄规划地区的乡村建设活动和已编制村庄规划但经评估无法满足村庄建设管理需求的适用本通则。本通则纳入乡镇级国土空间总体规划，依法报批后可作为实施国土空间用途管制、核发乡村建设项目规划许可的依据。乌石岗村目前正在编制村庄规划，</w:t>
            </w:r>
            <w:r>
              <w:rPr>
                <w:rFonts w:hint="eastAsia"/>
                <w:highlight w:val="none"/>
              </w:rPr>
              <w:t>湖塘村、雅盖村、板岭下村、层坑村、军二村、军三村、</w:t>
            </w:r>
            <w:r>
              <w:rPr>
                <w:rFonts w:hint="eastAsia" w:ascii="仿宋" w:hAnsi="仿宋"/>
                <w:highlight w:val="none"/>
              </w:rPr>
              <w:t>潭石村计划编制村庄规划，后续可根据村庄发展实际需求，由马头镇人民政府对计划编制村庄规划名单进行调整，村庄规划批复前，以本通则管控要求作为实施国土空间用途管制、核发乡村建设项目规划许可的依据，待村庄规划批复后，按照村庄规划执行。</w:t>
            </w:r>
            <w:r>
              <w:rPr>
                <w:color w:val="000000" w:themeColor="text1"/>
                <w:highlight w:val="none"/>
                <w:lang w:bidi="ar"/>
                <w14:textFill>
                  <w14:solidFill>
                    <w14:schemeClr w14:val="tx1"/>
                  </w14:solidFill>
                </w14:textFill>
              </w:rPr>
              <w:t>规划实施过程中，</w:t>
            </w:r>
            <w:r>
              <w:rPr>
                <w:rFonts w:hint="eastAsia"/>
                <w:color w:val="000000" w:themeColor="text1"/>
                <w:highlight w:val="none"/>
                <w:lang w:bidi="ar"/>
                <w14:textFill>
                  <w14:solidFill>
                    <w14:schemeClr w14:val="tx1"/>
                  </w14:solidFill>
                </w14:textFill>
              </w:rPr>
              <w:t>底线管控指标、要求根据有关规定调整的，本通则内容随之动态调整。</w:t>
            </w:r>
            <w:r>
              <w:rPr>
                <w:color w:val="000000" w:themeColor="text1"/>
                <w:highlight w:val="none"/>
                <w:lang w:bidi="ar"/>
                <w14:textFill>
                  <w14:solidFill>
                    <w14:schemeClr w14:val="tx1"/>
                  </w14:solidFill>
                </w14:textFill>
              </w:rPr>
              <w:t>地块指标控制需突破本通则规定的，需由县级自然资源主管部门组织开展地块指标专题论证</w:t>
            </w:r>
            <w:r>
              <w:rPr>
                <w:rFonts w:hint="eastAsia"/>
                <w:color w:val="000000" w:themeColor="text1"/>
                <w:highlight w:val="none"/>
                <w:lang w:bidi="ar"/>
                <w14:textFill>
                  <w14:solidFill>
                    <w14:schemeClr w14:val="tx1"/>
                  </w14:solidFill>
                </w14:textFill>
              </w:rPr>
              <w:t>，各县级人民政府单独制定村庄规划管理通则的，从其规定。</w:t>
            </w:r>
          </w:p>
        </w:tc>
      </w:tr>
    </w:tbl>
    <w:p>
      <w:pPr>
        <w:rPr>
          <w:highlight w:val="none"/>
        </w:rPr>
      </w:pPr>
      <w:r>
        <w:rPr>
          <w:rFonts w:hint="eastAsia"/>
          <w:highlight w:val="none"/>
        </w:rPr>
        <w:br w:type="page"/>
      </w:r>
    </w:p>
    <w:p>
      <w:pPr>
        <w:pStyle w:val="5"/>
        <w:numPr>
          <w:ilvl w:val="0"/>
          <w:numId w:val="9"/>
        </w:numPr>
        <w:spacing w:before="156" w:beforeLines="50" w:after="156" w:afterLines="50"/>
        <w:rPr>
          <w:highlight w:val="none"/>
        </w:rPr>
      </w:pPr>
      <w:bookmarkStart w:id="331" w:name="_Toc14023"/>
      <w:r>
        <w:rPr>
          <w:highlight w:val="none"/>
        </w:rPr>
        <w:t>近期行动和重大项目保障</w:t>
      </w:r>
      <w:bookmarkEnd w:id="331"/>
    </w:p>
    <w:p>
      <w:pPr>
        <w:pStyle w:val="6"/>
        <w:rPr>
          <w:b w:val="0"/>
          <w:bCs w:val="0"/>
          <w:highlight w:val="none"/>
        </w:rPr>
      </w:pPr>
      <w:bookmarkStart w:id="332" w:name="_Toc24807"/>
      <w:r>
        <w:rPr>
          <w:rFonts w:hint="eastAsia"/>
          <w:b w:val="0"/>
          <w:bCs w:val="0"/>
          <w:highlight w:val="none"/>
        </w:rPr>
        <w:t>近期行动计划</w:t>
      </w:r>
      <w:bookmarkEnd w:id="332"/>
    </w:p>
    <w:p>
      <w:pPr>
        <w:rPr>
          <w:highlight w:val="none"/>
        </w:rPr>
      </w:pPr>
      <w:r>
        <w:rPr>
          <w:rFonts w:hint="eastAsia"/>
          <w:color w:val="000000" w:themeColor="text1"/>
          <w:highlight w:val="none"/>
          <w14:textFill>
            <w14:solidFill>
              <w14:schemeClr w14:val="tx1"/>
            </w14:solidFill>
          </w14:textFill>
        </w:rPr>
        <w:t>加强对国土空间规划目标任务的分解落实和实施推动，落实上级国土空间规划要求，统筹安排好各类重大平台、重点项目、重大工程建设计划，制定交通、水利、能源、电力、通讯、环保、旅游、民生、产业、生态及其他重大项目清单，明确项目类型、项目名称、建设性质、建设年限、用地规模、所在地区等内容。明确近期建设重点，形成合理的国土空间开发保护时序。</w:t>
      </w:r>
    </w:p>
    <w:p>
      <w:pPr>
        <w:rPr>
          <w:highlight w:val="none"/>
        </w:rPr>
      </w:pPr>
      <w:r>
        <w:rPr>
          <w:rFonts w:hint="eastAsia"/>
          <w:highlight w:val="none"/>
        </w:rPr>
        <w:t>本次规划的近期期限为：2021—2025年。在近期规划期限，马头镇区主要结合镇区发展方向进行现状功能优化提升、土地资源整合等工作。</w:t>
      </w:r>
    </w:p>
    <w:p>
      <w:pPr>
        <w:pStyle w:val="6"/>
        <w:rPr>
          <w:b w:val="0"/>
          <w:bCs w:val="0"/>
          <w:highlight w:val="none"/>
        </w:rPr>
      </w:pPr>
      <w:bookmarkStart w:id="333" w:name="_Toc26314"/>
      <w:r>
        <w:rPr>
          <w:rFonts w:hint="eastAsia"/>
          <w:b w:val="0"/>
          <w:bCs w:val="0"/>
          <w:highlight w:val="none"/>
        </w:rPr>
        <w:t>重点项目保障</w:t>
      </w:r>
      <w:bookmarkEnd w:id="333"/>
    </w:p>
    <w:p>
      <w:pPr>
        <w:rPr>
          <w:highlight w:val="none"/>
        </w:rPr>
      </w:pPr>
      <w:r>
        <w:rPr>
          <w:rFonts w:hint="eastAsia"/>
          <w:color w:val="000000" w:themeColor="text1"/>
          <w:highlight w:val="none"/>
          <w14:textFill>
            <w14:solidFill>
              <w14:schemeClr w14:val="tx1"/>
            </w14:solidFill>
          </w14:textFill>
        </w:rPr>
        <w:t>通过规模整合、整理、腾挪、拆旧复垦和异地购买等方式，推动空间资源向重大项目集聚，实施差异化的用地和布局保障措施。对已明确选址的项目，强化建设用地规模落实；对未明确选址的项目，做好用地规模</w:t>
      </w:r>
      <w:r>
        <w:rPr>
          <w:rFonts w:hint="eastAsia"/>
          <w:color w:val="000000" w:themeColor="text1"/>
          <w:highlight w:val="none"/>
          <w:lang w:val="en-US" w:eastAsia="zh-CN"/>
          <w14:textFill>
            <w14:solidFill>
              <w14:schemeClr w14:val="tx1"/>
            </w14:solidFill>
          </w14:textFill>
        </w:rPr>
        <w:t>安排</w:t>
      </w:r>
      <w:r>
        <w:rPr>
          <w:rFonts w:hint="eastAsia"/>
          <w:color w:val="000000" w:themeColor="text1"/>
          <w:highlight w:val="none"/>
          <w14:textFill>
            <w14:solidFill>
              <w14:schemeClr w14:val="tx1"/>
            </w14:solidFill>
          </w14:textFill>
        </w:rPr>
        <w:t>。</w:t>
      </w:r>
      <w:r>
        <w:rPr>
          <w:rFonts w:hint="eastAsia"/>
          <w:highlight w:val="none"/>
        </w:rPr>
        <w:t>加强规划协调衔接，以马头工业园、物流园、农科新丰四季园区、马头镇段污水治理工程等重大项目为核心示范，引领推动全域城镇空间优化提质。</w:t>
      </w:r>
    </w:p>
    <w:p>
      <w:pPr>
        <w:pStyle w:val="5"/>
        <w:numPr>
          <w:ilvl w:val="0"/>
          <w:numId w:val="9"/>
        </w:numPr>
        <w:spacing w:before="156" w:beforeLines="50" w:after="156" w:afterLines="50"/>
        <w:rPr>
          <w:highlight w:val="none"/>
        </w:rPr>
      </w:pPr>
      <w:bookmarkStart w:id="334" w:name="_Toc2508"/>
      <w:r>
        <w:rPr>
          <w:highlight w:val="none"/>
        </w:rPr>
        <w:t>实施政策机制</w:t>
      </w:r>
      <w:bookmarkEnd w:id="334"/>
    </w:p>
    <w:p>
      <w:pPr>
        <w:pStyle w:val="6"/>
        <w:rPr>
          <w:b w:val="0"/>
          <w:bCs w:val="0"/>
          <w:highlight w:val="none"/>
        </w:rPr>
      </w:pPr>
      <w:bookmarkStart w:id="335" w:name="_Toc16121"/>
      <w:bookmarkStart w:id="336" w:name="_Toc141888043"/>
      <w:bookmarkStart w:id="337" w:name="_Toc166096067"/>
      <w:bookmarkStart w:id="338" w:name="_Toc32372"/>
      <w:bookmarkStart w:id="339" w:name="_Toc132305938"/>
      <w:bookmarkStart w:id="340" w:name="_Toc145864513"/>
      <w:r>
        <w:rPr>
          <w:rFonts w:hint="eastAsia"/>
          <w:b w:val="0"/>
          <w:bCs w:val="0"/>
          <w:highlight w:val="none"/>
        </w:rPr>
        <w:t>建立规划留白机制</w:t>
      </w:r>
      <w:bookmarkEnd w:id="335"/>
      <w:bookmarkEnd w:id="336"/>
      <w:bookmarkEnd w:id="337"/>
      <w:bookmarkEnd w:id="338"/>
      <w:bookmarkEnd w:id="339"/>
      <w:bookmarkEnd w:id="340"/>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规划留白用地管理机制，合理确定规划留白的规模，为马头镇未来发展预留空间，积极应对未来的不确定性。需要使用留白用地的，原则上不得占用永久基本农田和生态保护红线，尽量不占或少占耕地，确需占用的应当符合相应管控规则并履行规定程序。</w:t>
      </w:r>
    </w:p>
    <w:p>
      <w:pPr>
        <w:pStyle w:val="6"/>
        <w:rPr>
          <w:b w:val="0"/>
          <w:bCs w:val="0"/>
          <w:highlight w:val="none"/>
        </w:rPr>
      </w:pPr>
      <w:bookmarkStart w:id="341" w:name="_Toc15910"/>
      <w:bookmarkStart w:id="342" w:name="_Toc166096070"/>
      <w:bookmarkStart w:id="343" w:name="_Toc132305941"/>
      <w:bookmarkStart w:id="344" w:name="_Toc141888046"/>
      <w:bookmarkStart w:id="345" w:name="_Toc21601"/>
      <w:bookmarkStart w:id="346" w:name="_Toc145864516"/>
      <w:r>
        <w:rPr>
          <w:b w:val="0"/>
          <w:bCs w:val="0"/>
          <w:highlight w:val="none"/>
        </w:rPr>
        <w:t>加强规划政策保障</w:t>
      </w:r>
      <w:bookmarkEnd w:id="341"/>
      <w:bookmarkEnd w:id="342"/>
      <w:bookmarkEnd w:id="343"/>
      <w:bookmarkEnd w:id="344"/>
      <w:bookmarkEnd w:id="345"/>
      <w:bookmarkEnd w:id="346"/>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实行重点项目分类用地保障。加强全镇空间资源统筹，通过规模整合、整理、腾挪、拆旧复垦和异地购买等方式，推动空间资源向重大项目集聚。</w:t>
      </w:r>
    </w:p>
    <w:p>
      <w:pPr>
        <w:widowControl/>
        <w:numPr>
          <w:ilvl w:val="255"/>
          <w:numId w:val="0"/>
        </w:numPr>
        <w:ind w:firstLine="6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探索重大项目提前介入制度，指导建设单位做好前期论证工作。开辟重大项目用地预审、报批等全过程审批绿色通道，推进项目快批快审、批后快征、征后快供、供后快用和及时确权登记。</w:t>
      </w:r>
    </w:p>
    <w:p>
      <w:pPr>
        <w:pStyle w:val="5"/>
        <w:numPr>
          <w:ilvl w:val="0"/>
          <w:numId w:val="9"/>
        </w:numPr>
        <w:spacing w:before="156" w:beforeLines="50" w:after="156" w:afterLines="50"/>
        <w:rPr>
          <w:highlight w:val="none"/>
        </w:rPr>
      </w:pPr>
      <w:bookmarkStart w:id="347" w:name="_Toc4124"/>
      <w:r>
        <w:rPr>
          <w:highlight w:val="none"/>
        </w:rPr>
        <w:t>规划环境影响评价</w:t>
      </w:r>
      <w:bookmarkEnd w:id="347"/>
    </w:p>
    <w:p>
      <w:pPr>
        <w:pStyle w:val="6"/>
        <w:rPr>
          <w:b w:val="0"/>
          <w:bCs w:val="0"/>
          <w:highlight w:val="none"/>
        </w:rPr>
      </w:pPr>
      <w:bookmarkStart w:id="348" w:name="_Toc22742"/>
      <w:bookmarkStart w:id="349" w:name="_Toc166446123"/>
      <w:r>
        <w:rPr>
          <w:rFonts w:hint="eastAsia"/>
          <w:b w:val="0"/>
          <w:bCs w:val="0"/>
          <w:highlight w:val="none"/>
        </w:rPr>
        <w:t>大气环境影响分析与评价</w:t>
      </w:r>
      <w:bookmarkEnd w:id="348"/>
      <w:bookmarkEnd w:id="349"/>
    </w:p>
    <w:p>
      <w:pPr>
        <w:rPr>
          <w:highlight w:val="none"/>
        </w:rPr>
      </w:pPr>
      <w:r>
        <w:rPr>
          <w:rFonts w:hint="eastAsia"/>
          <w:highlight w:val="none"/>
        </w:rPr>
        <w:t>大气环境影响分析与评价，再生产领域，马头镇大气污染源主要为马头园区工业废气、机动车尾气、餐饮油烟废气等。</w:t>
      </w:r>
    </w:p>
    <w:p>
      <w:pPr>
        <w:rPr>
          <w:highlight w:val="none"/>
        </w:rPr>
      </w:pPr>
      <w:r>
        <w:rPr>
          <w:rFonts w:hint="eastAsia"/>
          <w:highlight w:val="none"/>
        </w:rPr>
        <w:t>工业生产制造中产生的废气排放对马头镇污染防治带来一定压力，在马头园工业园区控制性详细规划方案编制时，需预测分析工业园区建设和运营期间对大气环境、水环境、土壤环境、生态系统、景观美学、社会环境等的短期和长期影响，包括污染物扩散、生态退化、生物多样性变化等，分析可能发生的大气、水体、土壤污染事故以及应急预案，评估其对环境和公众健康可能造成的风险。根据环境影响评价结果，提出优化工业园区布局、产业结构、能源结构、污染治理方案等方面的建议，以求最大限度地减轻对环境的不利影响，实现经济社会与环境的协调发展。在机动车尾气、餐饮油烟废气层面，控制机动车尾气的达标排放，推进绿色交通发展，减少大气环境污染影响。</w:t>
      </w:r>
    </w:p>
    <w:p>
      <w:pPr>
        <w:pStyle w:val="6"/>
        <w:rPr>
          <w:b w:val="0"/>
          <w:bCs w:val="0"/>
          <w:highlight w:val="none"/>
        </w:rPr>
      </w:pPr>
      <w:bookmarkStart w:id="350" w:name="_Toc166446124"/>
      <w:bookmarkStart w:id="351" w:name="_Toc11676"/>
      <w:r>
        <w:rPr>
          <w:rFonts w:hint="eastAsia"/>
          <w:b w:val="0"/>
          <w:bCs w:val="0"/>
          <w:highlight w:val="none"/>
        </w:rPr>
        <w:t>地表水环境影响分析与评价</w:t>
      </w:r>
      <w:bookmarkEnd w:id="350"/>
      <w:bookmarkEnd w:id="351"/>
    </w:p>
    <w:p>
      <w:pPr>
        <w:rPr>
          <w:color w:val="000000" w:themeColor="text1"/>
          <w:highlight w:val="none"/>
          <w14:textFill>
            <w14:solidFill>
              <w14:schemeClr w14:val="tx1"/>
            </w14:solidFill>
          </w14:textFill>
        </w:rPr>
      </w:pPr>
      <w:r>
        <w:rPr>
          <w:highlight w:val="none"/>
        </w:rPr>
        <w:t>在生活领域，地表水污染源主要为城镇生活污水。规划提出到2035年常住人口规模将达到</w:t>
      </w:r>
      <w:r>
        <w:rPr>
          <w:rFonts w:hint="eastAsia"/>
          <w:highlight w:val="none"/>
        </w:rPr>
        <w:t>2.1</w:t>
      </w:r>
      <w:r>
        <w:rPr>
          <w:highlight w:val="none"/>
        </w:rPr>
        <w:t>万人，随着常住人口的增长，生活污水排放总量也将显著提升。在规划实施过程中，应结合</w:t>
      </w:r>
      <w:r>
        <w:rPr>
          <w:rFonts w:hint="eastAsia"/>
          <w:highlight w:val="none"/>
        </w:rPr>
        <w:t>马头镇</w:t>
      </w:r>
      <w:r>
        <w:rPr>
          <w:highlight w:val="none"/>
        </w:rPr>
        <w:t>自然保护地的环境较为敏感的特征，强化周边城镇、村庄生活污水处理设施改造建设，提高生活污水的收集率和处理率</w:t>
      </w:r>
      <w:r>
        <w:rPr>
          <w:rFonts w:hint="eastAsia"/>
          <w:highlight w:val="none"/>
        </w:rPr>
        <w:t>。</w:t>
      </w:r>
      <w:r>
        <w:rPr>
          <w:highlight w:val="none"/>
        </w:rPr>
        <w:t>另外还需要对河流周边入河排污口进行整治，通过河流沿岸植树造林、适当布置沉水植物等，创造河岸等多样化生态空间，构建滨水系统格局。则规划实施后地表水环境影响在可接受范围内</w:t>
      </w:r>
      <w:r>
        <w:rPr>
          <w:rFonts w:hint="eastAsia"/>
          <w:color w:val="000000" w:themeColor="text1"/>
          <w:highlight w:val="none"/>
          <w14:textFill>
            <w14:solidFill>
              <w14:schemeClr w14:val="tx1"/>
            </w14:solidFill>
          </w14:textFill>
        </w:rPr>
        <w:t>。</w:t>
      </w:r>
    </w:p>
    <w:p>
      <w:pPr>
        <w:pStyle w:val="6"/>
        <w:rPr>
          <w:b w:val="0"/>
          <w:bCs w:val="0"/>
          <w:highlight w:val="none"/>
        </w:rPr>
      </w:pPr>
      <w:bookmarkStart w:id="352" w:name="_Toc166446127"/>
      <w:bookmarkStart w:id="353" w:name="_Toc31322"/>
      <w:r>
        <w:rPr>
          <w:rFonts w:hint="eastAsia"/>
          <w:b w:val="0"/>
          <w:bCs w:val="0"/>
          <w:highlight w:val="none"/>
        </w:rPr>
        <w:t>声环境影响分析与评价</w:t>
      </w:r>
      <w:bookmarkEnd w:id="352"/>
      <w:bookmarkEnd w:id="353"/>
    </w:p>
    <w:p>
      <w:pPr>
        <w:rPr>
          <w:color w:val="000000" w:themeColor="text1"/>
          <w:highlight w:val="none"/>
          <w14:textFill>
            <w14:solidFill>
              <w14:schemeClr w14:val="tx1"/>
            </w14:solidFill>
          </w14:textFill>
        </w:rPr>
      </w:pPr>
      <w:r>
        <w:rPr>
          <w:rFonts w:hint="eastAsia"/>
          <w:highlight w:val="none"/>
        </w:rPr>
        <w:t>马头镇</w:t>
      </w:r>
      <w:r>
        <w:rPr>
          <w:highlight w:val="none"/>
        </w:rPr>
        <w:t>声环境影响源主要包括交通噪声和施工噪声。随着交通运量的提升，交通噪声将显著增加。另外，规划提出了一系列工程项目，项目实施产生的施工噪声将对周边居民生活带来一定影响。规划实施过程中，对于交通噪声，需进一步优化交通道路规划，同时对声环境敏感点做好隔声防护措施和跟踪监测计划，则交通噪声不会对</w:t>
      </w:r>
      <w:r>
        <w:rPr>
          <w:rFonts w:hint="eastAsia"/>
          <w:highlight w:val="none"/>
        </w:rPr>
        <w:t>马头镇</w:t>
      </w:r>
      <w:r>
        <w:rPr>
          <w:highlight w:val="none"/>
        </w:rPr>
        <w:t>声环境质量带来明显的不良影响。对于施工噪声，需控制噪声、震动源，选择低噪声施工设备，在合适的施工时段开展施工，避免施工项目严重影响已建成地区，则施工噪声不会对</w:t>
      </w:r>
      <w:r>
        <w:rPr>
          <w:rFonts w:hint="eastAsia"/>
          <w:highlight w:val="none"/>
        </w:rPr>
        <w:t>马头镇</w:t>
      </w:r>
      <w:r>
        <w:rPr>
          <w:highlight w:val="none"/>
        </w:rPr>
        <w:t>声环境质量带来明显的不良影响</w:t>
      </w:r>
      <w:r>
        <w:rPr>
          <w:rFonts w:hint="eastAsia"/>
          <w:color w:val="000000" w:themeColor="text1"/>
          <w:highlight w:val="none"/>
          <w14:textFill>
            <w14:solidFill>
              <w14:schemeClr w14:val="tx1"/>
            </w14:solidFill>
          </w14:textFill>
        </w:rPr>
        <w:t>。</w:t>
      </w:r>
    </w:p>
    <w:p>
      <w:pPr>
        <w:pStyle w:val="6"/>
        <w:rPr>
          <w:b w:val="0"/>
          <w:bCs w:val="0"/>
          <w:highlight w:val="none"/>
        </w:rPr>
      </w:pPr>
      <w:bookmarkStart w:id="354" w:name="_Toc166446128"/>
      <w:bookmarkStart w:id="355" w:name="_Toc27423"/>
      <w:r>
        <w:rPr>
          <w:rFonts w:hint="eastAsia"/>
          <w:b w:val="0"/>
          <w:bCs w:val="0"/>
          <w:highlight w:val="none"/>
        </w:rPr>
        <w:t>固体废物影响分析与评价</w:t>
      </w:r>
      <w:bookmarkEnd w:id="354"/>
      <w:bookmarkEnd w:id="355"/>
    </w:p>
    <w:p>
      <w:pPr>
        <w:rPr>
          <w:highlight w:val="none"/>
        </w:rPr>
      </w:pPr>
      <w:r>
        <w:rPr>
          <w:rFonts w:hint="eastAsia"/>
          <w:highlight w:val="none"/>
        </w:rPr>
        <w:t>马头镇</w:t>
      </w:r>
      <w:r>
        <w:rPr>
          <w:highlight w:val="none"/>
        </w:rPr>
        <w:t>固体废物主要为生活垃圾。规划提出重点建设</w:t>
      </w:r>
      <w:r>
        <w:rPr>
          <w:rFonts w:hint="eastAsia"/>
          <w:highlight w:val="none"/>
        </w:rPr>
        <w:t>马头镇</w:t>
      </w:r>
      <w:r>
        <w:rPr>
          <w:highlight w:val="none"/>
        </w:rPr>
        <w:t>村镇生活垃圾收运和处理项目、</w:t>
      </w:r>
      <w:r>
        <w:rPr>
          <w:rFonts w:hint="eastAsia"/>
          <w:highlight w:val="none"/>
        </w:rPr>
        <w:t>马头镇</w:t>
      </w:r>
      <w:r>
        <w:rPr>
          <w:highlight w:val="none"/>
        </w:rPr>
        <w:t>生活垃圾</w:t>
      </w:r>
      <w:r>
        <w:rPr>
          <w:rFonts w:hint="eastAsia"/>
          <w:highlight w:val="none"/>
        </w:rPr>
        <w:t>中转</w:t>
      </w:r>
      <w:r>
        <w:rPr>
          <w:highlight w:val="none"/>
        </w:rPr>
        <w:t>站等设施</w:t>
      </w:r>
      <w:r>
        <w:rPr>
          <w:rFonts w:hint="eastAsia"/>
          <w:highlight w:val="none"/>
        </w:rPr>
        <w:t>，</w:t>
      </w:r>
      <w:r>
        <w:rPr>
          <w:highlight w:val="none"/>
        </w:rPr>
        <w:t>通过上述措施可以减少固体废物源头产生量，推动废物资源化利用，实现生活垃圾无害化处理率和危险废物安全处置率均应达到100%，原生垃圾“零填埋”。综上，固体废物不会对</w:t>
      </w:r>
      <w:r>
        <w:rPr>
          <w:rFonts w:hint="eastAsia"/>
          <w:highlight w:val="none"/>
        </w:rPr>
        <w:t>马头镇</w:t>
      </w:r>
      <w:r>
        <w:rPr>
          <w:highlight w:val="none"/>
        </w:rPr>
        <w:t>环境造成明显的不良影响</w:t>
      </w:r>
      <w:r>
        <w:rPr>
          <w:rFonts w:hint="eastAsia"/>
          <w:highlight w:val="none"/>
        </w:rPr>
        <w:t>。</w:t>
      </w:r>
    </w:p>
    <w:p>
      <w:pPr>
        <w:widowControl/>
        <w:numPr>
          <w:ilvl w:val="255"/>
          <w:numId w:val="0"/>
        </w:numPr>
        <w:ind w:firstLine="600"/>
        <w:rPr>
          <w:highlight w:val="none"/>
        </w:rPr>
      </w:pPr>
      <w:r>
        <w:rPr>
          <w:rFonts w:hint="eastAsia"/>
          <w:highlight w:val="none"/>
        </w:rPr>
        <w:t>规划提出发展特色旅游、旅游观光、农业等产业，对自然生态环境可能造成一定的破坏；规划结合三区三线划定绿线和生态控制线，采取生态修复、综合整治、碧道建设等工程措施、低冲击开发设计以及低碳绿色生态化的建设与运营模式，可以改善修复生态环境，提升生态服务功能。综上，只要在规划实施过程中加强对环境敏感区的保护修复，严格限制建设活动，合理制定准入条件，将不会破坏生态系统稳定性。</w:t>
      </w:r>
    </w:p>
    <w:p>
      <w:pPr>
        <w:pStyle w:val="5"/>
        <w:numPr>
          <w:ilvl w:val="0"/>
          <w:numId w:val="9"/>
        </w:numPr>
        <w:spacing w:before="156" w:beforeLines="50" w:after="156" w:afterLines="50"/>
        <w:rPr>
          <w:highlight w:val="none"/>
        </w:rPr>
      </w:pPr>
      <w:bookmarkStart w:id="356" w:name="_Toc11075"/>
      <w:r>
        <w:rPr>
          <w:rFonts w:hint="eastAsia"/>
          <w:highlight w:val="none"/>
        </w:rPr>
        <w:t>规划</w:t>
      </w:r>
      <w:r>
        <w:rPr>
          <w:highlight w:val="none"/>
        </w:rPr>
        <w:t>水资源论证</w:t>
      </w:r>
      <w:bookmarkEnd w:id="356"/>
    </w:p>
    <w:p>
      <w:pPr>
        <w:rPr>
          <w:highlight w:val="none"/>
        </w:rPr>
      </w:pPr>
      <w:r>
        <w:rPr>
          <w:rFonts w:hint="eastAsia"/>
          <w:highlight w:val="none"/>
        </w:rPr>
        <w:t>根据《新丰县国土空间总体规划（2021—2035年）》资源环境承载能力评价，水资源约束下最大可承载城乡人口规模70.51万人，规划到2035年，县域常住人口20万，水资源满足新丰县用水需求。</w:t>
      </w:r>
    </w:p>
    <w:p>
      <w:pPr>
        <w:jc w:val="left"/>
        <w:rPr>
          <w:highlight w:val="none"/>
        </w:rPr>
      </w:pPr>
      <w:r>
        <w:rPr>
          <w:rFonts w:hint="eastAsia"/>
          <w:highlight w:val="none"/>
        </w:rPr>
        <w:t>根据马头镇域内经济社会发展规划，预测未来一段时间内的城乡居民生活用水、农业灌溉用水、工业生产用水等各类用水需求，并进行供需平衡分析，确定水资源承载上限。规划至2035年，预测最高日用水量规模为1.0万m³/d，生活用水总量控制满足上级要求。以现有水资源条件为基础，经过科学合理调配和高效利用，能够支撑的最大人口规模、产业布局和经济社会发展水平。</w:t>
      </w:r>
    </w:p>
    <w:p>
      <w:pPr>
        <w:rPr>
          <w:highlight w:val="none"/>
        </w:rPr>
      </w:pPr>
      <w:r>
        <w:rPr>
          <w:rFonts w:hint="eastAsia"/>
          <w:highlight w:val="none"/>
        </w:rPr>
        <w:br w:type="page"/>
      </w:r>
    </w:p>
    <w:p>
      <w:pPr>
        <w:pStyle w:val="4"/>
        <w:numPr>
          <w:ilvl w:val="0"/>
          <w:numId w:val="0"/>
        </w:numPr>
        <w:spacing w:before="312" w:after="312"/>
        <w:ind w:left="442"/>
        <w:jc w:val="both"/>
        <w:rPr>
          <w:rFonts w:hint="eastAsia" w:eastAsia="黑体"/>
          <w:b w:val="0"/>
          <w:bCs w:val="0"/>
          <w:highlight w:val="none"/>
          <w:lang w:eastAsia="zh-CN"/>
        </w:rPr>
      </w:pPr>
      <w:bookmarkStart w:id="357" w:name="_Toc3960"/>
      <w:bookmarkStart w:id="358" w:name="_Toc11566"/>
      <w:bookmarkStart w:id="359" w:name="_Toc27409"/>
      <w:bookmarkStart w:id="360" w:name="_Toc10511"/>
      <w:bookmarkStart w:id="361" w:name="_Toc15544"/>
      <w:bookmarkStart w:id="362" w:name="_Toc8768"/>
      <w:r>
        <w:rPr>
          <w:rFonts w:hint="eastAsia"/>
          <w:b w:val="0"/>
          <w:bCs w:val="0"/>
          <w:highlight w:val="none"/>
        </w:rPr>
        <w:t>附</w:t>
      </w:r>
      <w:bookmarkEnd w:id="357"/>
      <w:bookmarkEnd w:id="358"/>
      <w:bookmarkEnd w:id="359"/>
      <w:bookmarkEnd w:id="360"/>
      <w:bookmarkEnd w:id="361"/>
      <w:bookmarkEnd w:id="362"/>
      <w:r>
        <w:rPr>
          <w:rFonts w:hint="eastAsia"/>
          <w:b w:val="0"/>
          <w:bCs w:val="0"/>
          <w:highlight w:val="none"/>
          <w:lang w:eastAsia="zh-CN"/>
        </w:rPr>
        <w:t>图</w:t>
      </w:r>
    </w:p>
    <w:p>
      <w:pPr>
        <w:rPr>
          <w:highlight w:val="none"/>
        </w:rPr>
      </w:pPr>
      <w:r>
        <w:rPr>
          <w:rFonts w:hint="eastAsia"/>
          <w:highlight w:val="none"/>
        </w:rPr>
        <w:t>附</w:t>
      </w:r>
      <w:r>
        <w:rPr>
          <w:rFonts w:hint="eastAsia"/>
          <w:highlight w:val="none"/>
          <w:lang w:eastAsia="zh-CN"/>
        </w:rPr>
        <w:t>图</w:t>
      </w:r>
      <w:r>
        <w:rPr>
          <w:rFonts w:hint="eastAsia"/>
          <w:highlight w:val="none"/>
        </w:rPr>
        <w:t xml:space="preserve"> 1 镇域国土空间总体格局规划图</w:t>
      </w:r>
    </w:p>
    <w:p>
      <w:pPr>
        <w:rPr>
          <w:highlight w:val="none"/>
        </w:rPr>
      </w:pPr>
      <w:r>
        <w:rPr>
          <w:rFonts w:hint="eastAsia"/>
          <w:highlight w:val="none"/>
        </w:rPr>
        <w:t>附</w:t>
      </w:r>
      <w:r>
        <w:rPr>
          <w:rFonts w:hint="eastAsia"/>
          <w:highlight w:val="none"/>
          <w:lang w:eastAsia="zh-CN"/>
        </w:rPr>
        <w:t>图</w:t>
      </w:r>
      <w:r>
        <w:rPr>
          <w:rFonts w:hint="eastAsia"/>
          <w:highlight w:val="none"/>
        </w:rPr>
        <w:t xml:space="preserve"> 2 镇域镇村体系规划图</w:t>
      </w:r>
    </w:p>
    <w:p>
      <w:pPr>
        <w:rPr>
          <w:highlight w:val="none"/>
        </w:rPr>
      </w:pPr>
      <w:r>
        <w:rPr>
          <w:rFonts w:hint="eastAsia"/>
          <w:highlight w:val="none"/>
        </w:rPr>
        <w:t>附</w:t>
      </w:r>
      <w:r>
        <w:rPr>
          <w:rFonts w:hint="eastAsia"/>
          <w:highlight w:val="none"/>
          <w:lang w:eastAsia="zh-CN"/>
        </w:rPr>
        <w:t>图</w:t>
      </w:r>
      <w:r>
        <w:rPr>
          <w:rFonts w:hint="eastAsia"/>
          <w:highlight w:val="none"/>
        </w:rPr>
        <w:t xml:space="preserve"> 3 镇域国土空间控制线规划图</w:t>
      </w:r>
    </w:p>
    <w:p>
      <w:pPr>
        <w:rPr>
          <w:highlight w:val="none"/>
        </w:rPr>
      </w:pPr>
      <w:r>
        <w:rPr>
          <w:rFonts w:hint="eastAsia"/>
          <w:highlight w:val="none"/>
        </w:rPr>
        <w:t>附</w:t>
      </w:r>
      <w:r>
        <w:rPr>
          <w:rFonts w:hint="eastAsia"/>
          <w:highlight w:val="none"/>
          <w:lang w:eastAsia="zh-CN"/>
        </w:rPr>
        <w:t>图</w:t>
      </w:r>
      <w:r>
        <w:rPr>
          <w:rFonts w:hint="eastAsia"/>
          <w:highlight w:val="none"/>
        </w:rPr>
        <w:t xml:space="preserve"> 4 镇域综合交通规划图</w:t>
      </w:r>
    </w:p>
    <w:p>
      <w:pPr>
        <w:rPr>
          <w:highlight w:val="none"/>
        </w:rPr>
      </w:pPr>
      <w:r>
        <w:rPr>
          <w:rFonts w:hint="eastAsia"/>
          <w:highlight w:val="none"/>
        </w:rPr>
        <w:t>附</w:t>
      </w:r>
      <w:r>
        <w:rPr>
          <w:rFonts w:hint="eastAsia"/>
          <w:highlight w:val="none"/>
          <w:lang w:eastAsia="zh-CN"/>
        </w:rPr>
        <w:t>图</w:t>
      </w:r>
      <w:r>
        <w:rPr>
          <w:rFonts w:hint="eastAsia"/>
          <w:highlight w:val="none"/>
        </w:rPr>
        <w:t xml:space="preserve"> 5 镇区空间结构规划图</w:t>
      </w:r>
    </w:p>
    <w:p>
      <w:pPr>
        <w:rPr>
          <w:highlight w:val="none"/>
        </w:rPr>
      </w:pPr>
      <w:r>
        <w:rPr>
          <w:rFonts w:hint="eastAsia"/>
          <w:highlight w:val="none"/>
        </w:rPr>
        <w:t>附</w:t>
      </w:r>
      <w:r>
        <w:rPr>
          <w:rFonts w:hint="eastAsia"/>
          <w:highlight w:val="none"/>
          <w:lang w:eastAsia="zh-CN"/>
        </w:rPr>
        <w:t>图</w:t>
      </w:r>
      <w:r>
        <w:rPr>
          <w:rFonts w:hint="eastAsia"/>
          <w:highlight w:val="none"/>
        </w:rPr>
        <w:t xml:space="preserve"> 6 镇区道路交通规划图</w:t>
      </w:r>
    </w:p>
    <w:p>
      <w:pPr>
        <w:ind w:firstLine="0" w:firstLineChars="0"/>
        <w:rPr>
          <w:highlight w:val="none"/>
        </w:rPr>
      </w:pPr>
      <w:bookmarkStart w:id="363" w:name="_Toc30028"/>
      <w:bookmarkStart w:id="364" w:name="_Toc7044"/>
      <w:bookmarkStart w:id="365" w:name="_Toc24136"/>
      <w:bookmarkStart w:id="366" w:name="_Toc26912"/>
      <w:bookmarkStart w:id="367" w:name="_Toc1951"/>
      <w:r>
        <w:rPr>
          <w:rFonts w:hint="eastAsia"/>
          <w:highlight w:val="none"/>
        </w:rPr>
        <w:t xml:space="preserve"> </w:t>
      </w:r>
      <w:bookmarkEnd w:id="363"/>
      <w:bookmarkEnd w:id="364"/>
      <w:bookmarkEnd w:id="365"/>
      <w:bookmarkEnd w:id="366"/>
      <w:bookmarkEnd w:id="367"/>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5A3110-31DD-4887-9BC7-879A4B12F2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9274C76-E644-4BF7-B07B-6EE9E7B3416B}"/>
  </w:font>
  <w:font w:name="仿宋_GB2312">
    <w:panose1 w:val="02010609030101010101"/>
    <w:charset w:val="86"/>
    <w:family w:val="modern"/>
    <w:pitch w:val="default"/>
    <w:sig w:usb0="00000001" w:usb1="080E0000" w:usb2="00000000" w:usb3="00000000" w:csb0="00040000" w:csb1="00000000"/>
    <w:embedRegular r:id="rId3" w:fontKey="{8DD1D9DB-216E-4EAB-9AC8-6BAD3091D278}"/>
  </w:font>
  <w:font w:name="等线">
    <w:altName w:val="微软雅黑"/>
    <w:panose1 w:val="02010600030101010101"/>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CD0DA6A7-BA86-4589-B71E-2D5DE849500B}"/>
  </w:font>
  <w:font w:name="楷体_GB2312">
    <w:altName w:val="楷体"/>
    <w:panose1 w:val="02010609030101010101"/>
    <w:charset w:val="86"/>
    <w:family w:val="modern"/>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embedRegular r:id="rId5" w:fontKey="{812DF8B2-395D-462B-9BBF-0254272F9385}"/>
  </w:font>
  <w:font w:name="楷体">
    <w:panose1 w:val="02010609060101010101"/>
    <w:charset w:val="86"/>
    <w:family w:val="modern"/>
    <w:pitch w:val="default"/>
    <w:sig w:usb0="800002BF" w:usb1="38CF7CFA" w:usb2="00000016" w:usb3="00000000" w:csb0="00040001" w:csb1="00000000"/>
    <w:embedRegular r:id="rId6" w:fontKey="{1B2F296A-A22E-4DB9-9B28-0D4BB4A31DFB}"/>
  </w:font>
  <w:font w:name="微软雅黑">
    <w:panose1 w:val="020B0503020204020204"/>
    <w:charset w:val="86"/>
    <w:family w:val="swiss"/>
    <w:pitch w:val="default"/>
    <w:sig w:usb0="80000287" w:usb1="280F3C52" w:usb2="00000016" w:usb3="00000000" w:csb0="0004001F" w:csb1="00000000"/>
    <w:embedRegular r:id="rId7" w:fontKey="{3367320F-0239-4846-8E68-B50FC1DC3B18}"/>
  </w:font>
  <w:font w:name="等线">
    <w:altName w:val="微软雅黑"/>
    <w:panose1 w:val="00000000000000000000"/>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368138"/>
    </w:sdtPr>
    <w:sdtContent>
      <w:p>
        <w:pPr>
          <w:pStyle w:val="16"/>
          <w:ind w:left="1200" w:firstLine="360"/>
          <w:jc w:val="center"/>
        </w:pPr>
        <w:r>
          <w:fldChar w:fldCharType="begin"/>
        </w:r>
        <w:r>
          <w:instrText xml:space="preserve">PAGE   \* MERGEFORMAT</w:instrText>
        </w:r>
        <w:r>
          <w:fldChar w:fldCharType="separate"/>
        </w:r>
        <w:r>
          <w:rPr>
            <w:lang w:val="zh-CN"/>
          </w:rPr>
          <w:t>2</w:t>
        </w:r>
        <w:r>
          <w:fldChar w:fldCharType="end"/>
        </w:r>
      </w:p>
    </w:sdtContent>
  </w:sdt>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ind w:firstLine="360"/>
        <w:rPr>
          <w:rFonts w:cs="Times New Roman"/>
          <w:kern w:val="0"/>
          <w:sz w:val="18"/>
          <w:szCs w:val="18"/>
        </w:rPr>
      </w:pPr>
      <w:r>
        <w:rPr>
          <w:rFonts w:hint="eastAsia" w:cs="Times New Roman"/>
          <w:kern w:val="0"/>
          <w:sz w:val="18"/>
          <w:szCs w:val="18"/>
        </w:rPr>
        <w:t>1.2020年国土变更调查成果数据（自然资源部2022年7月“三区三线”“二下”成果下发确认的版本）。</w:t>
      </w:r>
    </w:p>
  </w:footnote>
  <w:footnote w:id="1">
    <w:p>
      <w:pPr>
        <w:ind w:firstLine="360"/>
        <w:rPr>
          <w:rFonts w:cs="Times New Roman"/>
          <w:kern w:val="0"/>
          <w:sz w:val="18"/>
          <w:szCs w:val="18"/>
        </w:rPr>
      </w:pPr>
      <w:r>
        <w:rPr>
          <w:rFonts w:hint="eastAsia" w:cs="Times New Roman"/>
          <w:kern w:val="0"/>
          <w:sz w:val="18"/>
          <w:szCs w:val="18"/>
        </w:rPr>
        <w:footnoteRef/>
      </w:r>
      <w:r>
        <w:rPr>
          <w:rFonts w:hint="eastAsia" w:cs="Times New Roman"/>
          <w:kern w:val="0"/>
          <w:sz w:val="18"/>
          <w:szCs w:val="18"/>
        </w:rPr>
        <w:t xml:space="preserve"> 数据来源：新丰县第七次全国人口普查公报</w:t>
      </w:r>
    </w:p>
  </w:footnote>
  <w:footnote w:id="2">
    <w:p>
      <w:pPr>
        <w:ind w:firstLine="360"/>
        <w:rPr>
          <w:rFonts w:cs="Times New Roman"/>
          <w:kern w:val="0"/>
          <w:sz w:val="18"/>
          <w:szCs w:val="18"/>
        </w:rPr>
      </w:pPr>
      <w:r>
        <w:rPr>
          <w:rFonts w:hint="eastAsia" w:cs="Times New Roman"/>
          <w:kern w:val="0"/>
          <w:sz w:val="18"/>
          <w:szCs w:val="18"/>
        </w:rPr>
        <w:footnoteRef/>
      </w:r>
      <w:r>
        <w:rPr>
          <w:rFonts w:hint="eastAsia" w:cs="Times New Roman"/>
          <w:kern w:val="0"/>
          <w:sz w:val="18"/>
          <w:szCs w:val="18"/>
        </w:rPr>
        <w:t xml:space="preserve"> 数据来源：新丰县2021年国民经济和社会发展统计公报。</w:t>
      </w:r>
    </w:p>
  </w:footnote>
  <w:footnote w:id="3">
    <w:p>
      <w:pPr>
        <w:ind w:firstLine="360"/>
        <w:rPr>
          <w:rFonts w:cs="Times New Roman"/>
          <w:kern w:val="0"/>
          <w:sz w:val="18"/>
          <w:szCs w:val="18"/>
        </w:rPr>
      </w:pPr>
      <w:r>
        <w:rPr>
          <w:rFonts w:hint="eastAsia" w:cs="Times New Roman"/>
          <w:kern w:val="0"/>
          <w:sz w:val="18"/>
          <w:szCs w:val="18"/>
        </w:rPr>
        <w:footnoteRef/>
      </w:r>
      <w:r>
        <w:rPr>
          <w:rFonts w:hint="eastAsia" w:cs="Times New Roman"/>
          <w:kern w:val="0"/>
          <w:sz w:val="18"/>
          <w:szCs w:val="18"/>
        </w:rPr>
        <w:t>.双区：粤港澳大湾区、深圳建设中国特色社会主义先行示范区。</w:t>
      </w:r>
    </w:p>
    <w:p>
      <w:pPr>
        <w:pStyle w:val="19"/>
        <w:ind w:firstLine="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E9393"/>
    <w:multiLevelType w:val="multilevel"/>
    <w:tmpl w:val="D83E9393"/>
    <w:lvl w:ilvl="0" w:tentative="0">
      <w:start w:val="1"/>
      <w:numFmt w:val="japaneseCounting"/>
      <w:pStyle w:val="4"/>
      <w:lvlText w:val="第%1章"/>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
    <w:nsid w:val="0378C6D1"/>
    <w:multiLevelType w:val="multilevel"/>
    <w:tmpl w:val="0378C6D1"/>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decimal"/>
      <w:pStyle w:val="6"/>
      <w:lvlText w:val="第%3条"/>
      <w:lvlJc w:val="left"/>
      <w:pPr>
        <w:ind w:left="581" w:hanging="440"/>
      </w:pPr>
      <w:rPr>
        <w:rFonts w:hint="eastAsia" w:ascii="Times New Roman" w:hAnsi="Times New Roman" w:eastAsia="黑体"/>
        <w:b/>
        <w:i w:val="0"/>
        <w:sz w:val="30"/>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4C08EEDA"/>
    <w:multiLevelType w:val="singleLevel"/>
    <w:tmpl w:val="4C08EEDA"/>
    <w:lvl w:ilvl="0" w:tentative="0">
      <w:start w:val="1"/>
      <w:numFmt w:val="chineseCounting"/>
      <w:pStyle w:val="5"/>
      <w:suff w:val="space"/>
      <w:lvlText w:val="第%1节"/>
      <w:lvlJc w:val="left"/>
      <w:rPr>
        <w:rFonts w:hint="eastAsia"/>
      </w:rPr>
    </w:lvl>
  </w:abstractNum>
  <w:abstractNum w:abstractNumId="3">
    <w:nsid w:val="684C7F66"/>
    <w:multiLevelType w:val="multilevel"/>
    <w:tmpl w:val="684C7F66"/>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pStyle w:val="7"/>
      <w:lvlText w:val="(%4)"/>
      <w:lvlJc w:val="right"/>
      <w:pPr>
        <w:ind w:left="864" w:hanging="144"/>
      </w:pPr>
    </w:lvl>
    <w:lvl w:ilvl="4" w:tentative="0">
      <w:start w:val="1"/>
      <w:numFmt w:val="decimal"/>
      <w:pStyle w:val="8"/>
      <w:lvlText w:val="%5)"/>
      <w:lvlJc w:val="left"/>
      <w:pPr>
        <w:ind w:left="1008" w:hanging="432"/>
      </w:pPr>
    </w:lvl>
    <w:lvl w:ilvl="5" w:tentative="0">
      <w:start w:val="1"/>
      <w:numFmt w:val="lowerLetter"/>
      <w:pStyle w:val="9"/>
      <w:lvlText w:val="%6)"/>
      <w:lvlJc w:val="left"/>
      <w:pPr>
        <w:ind w:left="1152" w:hanging="432"/>
      </w:pPr>
    </w:lvl>
    <w:lvl w:ilvl="6" w:tentative="0">
      <w:start w:val="1"/>
      <w:numFmt w:val="lowerRoman"/>
      <w:pStyle w:val="10"/>
      <w:lvlText w:val="%7)"/>
      <w:lvlJc w:val="right"/>
      <w:pPr>
        <w:ind w:left="1296" w:hanging="288"/>
      </w:pPr>
    </w:lvl>
    <w:lvl w:ilvl="7" w:tentative="0">
      <w:start w:val="1"/>
      <w:numFmt w:val="lowerLetter"/>
      <w:pStyle w:val="11"/>
      <w:lvlText w:val="%8."/>
      <w:lvlJc w:val="left"/>
      <w:pPr>
        <w:ind w:left="1440" w:hanging="432"/>
      </w:pPr>
    </w:lvl>
    <w:lvl w:ilvl="8" w:tentative="0">
      <w:start w:val="1"/>
      <w:numFmt w:val="lowerRoman"/>
      <w:pStyle w:val="12"/>
      <w:lvlText w:val="%9."/>
      <w:lvlJc w:val="right"/>
      <w:pPr>
        <w:ind w:left="1584" w:hanging="144"/>
      </w:p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2ZDhkMzcyZGFlYjBjNzhiYmY3OGZjZTkzODc2ZDQifQ=="/>
    <w:docVar w:name="KSO_WPS_MARK_KEY" w:val="91a9353a-7c66-4259-934a-14e532610da3"/>
  </w:docVars>
  <w:rsids>
    <w:rsidRoot w:val="00B24EE9"/>
    <w:rsid w:val="00006147"/>
    <w:rsid w:val="00027202"/>
    <w:rsid w:val="00027C33"/>
    <w:rsid w:val="00031A63"/>
    <w:rsid w:val="00032D92"/>
    <w:rsid w:val="000466EC"/>
    <w:rsid w:val="00046820"/>
    <w:rsid w:val="00047EFA"/>
    <w:rsid w:val="000A0F95"/>
    <w:rsid w:val="000B405D"/>
    <w:rsid w:val="000B41BC"/>
    <w:rsid w:val="000B5184"/>
    <w:rsid w:val="000B59CC"/>
    <w:rsid w:val="000C02A5"/>
    <w:rsid w:val="000C4519"/>
    <w:rsid w:val="000D3CC1"/>
    <w:rsid w:val="000F1D81"/>
    <w:rsid w:val="00102C4D"/>
    <w:rsid w:val="00112E60"/>
    <w:rsid w:val="00117A17"/>
    <w:rsid w:val="00124162"/>
    <w:rsid w:val="00130A60"/>
    <w:rsid w:val="00131EC0"/>
    <w:rsid w:val="00136547"/>
    <w:rsid w:val="00151EF0"/>
    <w:rsid w:val="001520DA"/>
    <w:rsid w:val="00153A9E"/>
    <w:rsid w:val="00162319"/>
    <w:rsid w:val="00170336"/>
    <w:rsid w:val="001B62F5"/>
    <w:rsid w:val="001C3061"/>
    <w:rsid w:val="001C4880"/>
    <w:rsid w:val="001D768D"/>
    <w:rsid w:val="001E5CEE"/>
    <w:rsid w:val="001F055E"/>
    <w:rsid w:val="001F4FD3"/>
    <w:rsid w:val="00201CE1"/>
    <w:rsid w:val="00206317"/>
    <w:rsid w:val="00206FEC"/>
    <w:rsid w:val="00213CF6"/>
    <w:rsid w:val="00215E0B"/>
    <w:rsid w:val="002163C2"/>
    <w:rsid w:val="0023119C"/>
    <w:rsid w:val="00243CFA"/>
    <w:rsid w:val="002526C0"/>
    <w:rsid w:val="00280116"/>
    <w:rsid w:val="00293361"/>
    <w:rsid w:val="00293E3F"/>
    <w:rsid w:val="00294718"/>
    <w:rsid w:val="002A08E0"/>
    <w:rsid w:val="002A35BD"/>
    <w:rsid w:val="002A38FC"/>
    <w:rsid w:val="002A5A9A"/>
    <w:rsid w:val="002A6E84"/>
    <w:rsid w:val="002C76F4"/>
    <w:rsid w:val="002D4B5B"/>
    <w:rsid w:val="00303019"/>
    <w:rsid w:val="00304424"/>
    <w:rsid w:val="00316732"/>
    <w:rsid w:val="003210D7"/>
    <w:rsid w:val="00321A5C"/>
    <w:rsid w:val="00333462"/>
    <w:rsid w:val="003357D8"/>
    <w:rsid w:val="00342A5A"/>
    <w:rsid w:val="00346BBB"/>
    <w:rsid w:val="00355A5A"/>
    <w:rsid w:val="003572F7"/>
    <w:rsid w:val="00366F66"/>
    <w:rsid w:val="00375CDC"/>
    <w:rsid w:val="00390267"/>
    <w:rsid w:val="0039273B"/>
    <w:rsid w:val="003B4DDD"/>
    <w:rsid w:val="003C262D"/>
    <w:rsid w:val="003D4EF1"/>
    <w:rsid w:val="003D7E84"/>
    <w:rsid w:val="003F0D9B"/>
    <w:rsid w:val="003F23CE"/>
    <w:rsid w:val="003F2865"/>
    <w:rsid w:val="003F2D34"/>
    <w:rsid w:val="003F2F52"/>
    <w:rsid w:val="00403CD9"/>
    <w:rsid w:val="00421FC1"/>
    <w:rsid w:val="004270FF"/>
    <w:rsid w:val="00434468"/>
    <w:rsid w:val="00435607"/>
    <w:rsid w:val="00435E84"/>
    <w:rsid w:val="00441E31"/>
    <w:rsid w:val="00443A11"/>
    <w:rsid w:val="00456F93"/>
    <w:rsid w:val="0046056C"/>
    <w:rsid w:val="00463F5A"/>
    <w:rsid w:val="00480A52"/>
    <w:rsid w:val="00485899"/>
    <w:rsid w:val="00490B57"/>
    <w:rsid w:val="00496B83"/>
    <w:rsid w:val="004D1D8D"/>
    <w:rsid w:val="004E1718"/>
    <w:rsid w:val="00520D01"/>
    <w:rsid w:val="00522D94"/>
    <w:rsid w:val="005261D2"/>
    <w:rsid w:val="00543D73"/>
    <w:rsid w:val="0054494C"/>
    <w:rsid w:val="005619C7"/>
    <w:rsid w:val="00566ADA"/>
    <w:rsid w:val="00567618"/>
    <w:rsid w:val="00576AA4"/>
    <w:rsid w:val="005826A3"/>
    <w:rsid w:val="005875B4"/>
    <w:rsid w:val="005876FE"/>
    <w:rsid w:val="005A0820"/>
    <w:rsid w:val="005A4FA7"/>
    <w:rsid w:val="005A51EB"/>
    <w:rsid w:val="005A70B6"/>
    <w:rsid w:val="005A7DCB"/>
    <w:rsid w:val="005C04AE"/>
    <w:rsid w:val="005C285F"/>
    <w:rsid w:val="005E2960"/>
    <w:rsid w:val="00630304"/>
    <w:rsid w:val="006461C2"/>
    <w:rsid w:val="00652835"/>
    <w:rsid w:val="00663D96"/>
    <w:rsid w:val="00673BFF"/>
    <w:rsid w:val="006938BD"/>
    <w:rsid w:val="006A4E8C"/>
    <w:rsid w:val="006C623F"/>
    <w:rsid w:val="006C6AE7"/>
    <w:rsid w:val="006F0B1F"/>
    <w:rsid w:val="006F1D0E"/>
    <w:rsid w:val="00711749"/>
    <w:rsid w:val="007255F2"/>
    <w:rsid w:val="00731744"/>
    <w:rsid w:val="00747A31"/>
    <w:rsid w:val="00756544"/>
    <w:rsid w:val="007613B5"/>
    <w:rsid w:val="007703DD"/>
    <w:rsid w:val="0077397D"/>
    <w:rsid w:val="00797888"/>
    <w:rsid w:val="007A12E2"/>
    <w:rsid w:val="007A3888"/>
    <w:rsid w:val="007B4368"/>
    <w:rsid w:val="007B506B"/>
    <w:rsid w:val="007D0824"/>
    <w:rsid w:val="007D506E"/>
    <w:rsid w:val="007E6E6E"/>
    <w:rsid w:val="007F0BB4"/>
    <w:rsid w:val="007F79B7"/>
    <w:rsid w:val="0081008B"/>
    <w:rsid w:val="00811922"/>
    <w:rsid w:val="0081318C"/>
    <w:rsid w:val="008230F5"/>
    <w:rsid w:val="00840EF5"/>
    <w:rsid w:val="00844285"/>
    <w:rsid w:val="00850E71"/>
    <w:rsid w:val="008529CF"/>
    <w:rsid w:val="00852C39"/>
    <w:rsid w:val="00864047"/>
    <w:rsid w:val="00865402"/>
    <w:rsid w:val="0086620A"/>
    <w:rsid w:val="0087350A"/>
    <w:rsid w:val="008947D2"/>
    <w:rsid w:val="0089757A"/>
    <w:rsid w:val="008A07B9"/>
    <w:rsid w:val="008A4EF6"/>
    <w:rsid w:val="008C48CB"/>
    <w:rsid w:val="008C7EBE"/>
    <w:rsid w:val="008D1B5D"/>
    <w:rsid w:val="008F4446"/>
    <w:rsid w:val="0091148E"/>
    <w:rsid w:val="009223B1"/>
    <w:rsid w:val="009238D9"/>
    <w:rsid w:val="00943FD9"/>
    <w:rsid w:val="00945562"/>
    <w:rsid w:val="0095221F"/>
    <w:rsid w:val="00974AF7"/>
    <w:rsid w:val="00990FD4"/>
    <w:rsid w:val="00995CEA"/>
    <w:rsid w:val="009A074F"/>
    <w:rsid w:val="009A5984"/>
    <w:rsid w:val="009B018F"/>
    <w:rsid w:val="009B4BB6"/>
    <w:rsid w:val="009C1484"/>
    <w:rsid w:val="00A14E98"/>
    <w:rsid w:val="00A279A0"/>
    <w:rsid w:val="00A32C4A"/>
    <w:rsid w:val="00A3332A"/>
    <w:rsid w:val="00A34C62"/>
    <w:rsid w:val="00A351D8"/>
    <w:rsid w:val="00A404DD"/>
    <w:rsid w:val="00A438C8"/>
    <w:rsid w:val="00A43F70"/>
    <w:rsid w:val="00A46D0A"/>
    <w:rsid w:val="00A535C1"/>
    <w:rsid w:val="00A53644"/>
    <w:rsid w:val="00A56E38"/>
    <w:rsid w:val="00A83A3C"/>
    <w:rsid w:val="00A85314"/>
    <w:rsid w:val="00AA2420"/>
    <w:rsid w:val="00AC7316"/>
    <w:rsid w:val="00AD5F12"/>
    <w:rsid w:val="00AD609F"/>
    <w:rsid w:val="00AE4E5E"/>
    <w:rsid w:val="00AF00F5"/>
    <w:rsid w:val="00AF0C03"/>
    <w:rsid w:val="00AF4706"/>
    <w:rsid w:val="00B027B7"/>
    <w:rsid w:val="00B248C8"/>
    <w:rsid w:val="00B24EE9"/>
    <w:rsid w:val="00B4649E"/>
    <w:rsid w:val="00B525CD"/>
    <w:rsid w:val="00B55DCE"/>
    <w:rsid w:val="00B572FD"/>
    <w:rsid w:val="00B6294A"/>
    <w:rsid w:val="00BA6A7C"/>
    <w:rsid w:val="00BC1DFF"/>
    <w:rsid w:val="00BD2867"/>
    <w:rsid w:val="00BD3B6B"/>
    <w:rsid w:val="00BD69A2"/>
    <w:rsid w:val="00BE06B8"/>
    <w:rsid w:val="00BE7797"/>
    <w:rsid w:val="00BF1903"/>
    <w:rsid w:val="00C02A30"/>
    <w:rsid w:val="00C0482C"/>
    <w:rsid w:val="00C0560C"/>
    <w:rsid w:val="00C11BF8"/>
    <w:rsid w:val="00C3370B"/>
    <w:rsid w:val="00C4008E"/>
    <w:rsid w:val="00C43145"/>
    <w:rsid w:val="00C83CC4"/>
    <w:rsid w:val="00C91F2E"/>
    <w:rsid w:val="00C94F63"/>
    <w:rsid w:val="00CA072F"/>
    <w:rsid w:val="00D44E8E"/>
    <w:rsid w:val="00D567F9"/>
    <w:rsid w:val="00D72EAA"/>
    <w:rsid w:val="00D9310D"/>
    <w:rsid w:val="00DA73B0"/>
    <w:rsid w:val="00DB1AF9"/>
    <w:rsid w:val="00DD3135"/>
    <w:rsid w:val="00DD47BA"/>
    <w:rsid w:val="00DE3564"/>
    <w:rsid w:val="00DF32BE"/>
    <w:rsid w:val="00E029AB"/>
    <w:rsid w:val="00E170DA"/>
    <w:rsid w:val="00E42079"/>
    <w:rsid w:val="00E4617D"/>
    <w:rsid w:val="00E527A0"/>
    <w:rsid w:val="00E62BE4"/>
    <w:rsid w:val="00E65FBF"/>
    <w:rsid w:val="00E71913"/>
    <w:rsid w:val="00E86228"/>
    <w:rsid w:val="00EA1479"/>
    <w:rsid w:val="00EA7717"/>
    <w:rsid w:val="00EB5F1B"/>
    <w:rsid w:val="00EE16DE"/>
    <w:rsid w:val="00EF2649"/>
    <w:rsid w:val="00EF2C1E"/>
    <w:rsid w:val="00EF7EA3"/>
    <w:rsid w:val="00F36B2B"/>
    <w:rsid w:val="00F41098"/>
    <w:rsid w:val="00F45CAF"/>
    <w:rsid w:val="00F46C7D"/>
    <w:rsid w:val="00F74345"/>
    <w:rsid w:val="00F80964"/>
    <w:rsid w:val="00F823EB"/>
    <w:rsid w:val="00F8564F"/>
    <w:rsid w:val="00F93846"/>
    <w:rsid w:val="00FA4452"/>
    <w:rsid w:val="00FA65BC"/>
    <w:rsid w:val="00FB28CB"/>
    <w:rsid w:val="00FE552E"/>
    <w:rsid w:val="00FE5B41"/>
    <w:rsid w:val="01030024"/>
    <w:rsid w:val="0103075C"/>
    <w:rsid w:val="011C7154"/>
    <w:rsid w:val="012F5F9F"/>
    <w:rsid w:val="013B0DE8"/>
    <w:rsid w:val="014337F8"/>
    <w:rsid w:val="01546566"/>
    <w:rsid w:val="01853278"/>
    <w:rsid w:val="018C33F1"/>
    <w:rsid w:val="019B1788"/>
    <w:rsid w:val="019D1CD7"/>
    <w:rsid w:val="019E4ED3"/>
    <w:rsid w:val="01A06E9D"/>
    <w:rsid w:val="01B36D36"/>
    <w:rsid w:val="01B76565"/>
    <w:rsid w:val="01E054EB"/>
    <w:rsid w:val="01EA08CD"/>
    <w:rsid w:val="01EA34D3"/>
    <w:rsid w:val="01EF3980"/>
    <w:rsid w:val="01F000C2"/>
    <w:rsid w:val="01F545F9"/>
    <w:rsid w:val="0204567E"/>
    <w:rsid w:val="02095476"/>
    <w:rsid w:val="021C3D20"/>
    <w:rsid w:val="021E1B74"/>
    <w:rsid w:val="0221640D"/>
    <w:rsid w:val="022C65E0"/>
    <w:rsid w:val="022D47EC"/>
    <w:rsid w:val="022E4A8F"/>
    <w:rsid w:val="02315D47"/>
    <w:rsid w:val="02360D5C"/>
    <w:rsid w:val="02585DD1"/>
    <w:rsid w:val="0259129B"/>
    <w:rsid w:val="0259428F"/>
    <w:rsid w:val="025D08EA"/>
    <w:rsid w:val="02676E31"/>
    <w:rsid w:val="026A3B24"/>
    <w:rsid w:val="02704AC1"/>
    <w:rsid w:val="02766588"/>
    <w:rsid w:val="027D71DE"/>
    <w:rsid w:val="028E2A1F"/>
    <w:rsid w:val="02900CBF"/>
    <w:rsid w:val="02A429BD"/>
    <w:rsid w:val="02A76009"/>
    <w:rsid w:val="02B83AD7"/>
    <w:rsid w:val="02CF5371"/>
    <w:rsid w:val="02CF6063"/>
    <w:rsid w:val="02FF3DC5"/>
    <w:rsid w:val="03111C76"/>
    <w:rsid w:val="031120CE"/>
    <w:rsid w:val="031514FD"/>
    <w:rsid w:val="031926F5"/>
    <w:rsid w:val="031A1041"/>
    <w:rsid w:val="03200295"/>
    <w:rsid w:val="03211011"/>
    <w:rsid w:val="0322689B"/>
    <w:rsid w:val="03257EAD"/>
    <w:rsid w:val="03261624"/>
    <w:rsid w:val="033966DC"/>
    <w:rsid w:val="03456094"/>
    <w:rsid w:val="03464EA5"/>
    <w:rsid w:val="035951FB"/>
    <w:rsid w:val="0366218C"/>
    <w:rsid w:val="03674364"/>
    <w:rsid w:val="03700CF2"/>
    <w:rsid w:val="03726617"/>
    <w:rsid w:val="03806C10"/>
    <w:rsid w:val="03836A76"/>
    <w:rsid w:val="038810A7"/>
    <w:rsid w:val="03887BE8"/>
    <w:rsid w:val="038B262D"/>
    <w:rsid w:val="039447DF"/>
    <w:rsid w:val="03A03184"/>
    <w:rsid w:val="03A8028B"/>
    <w:rsid w:val="03B94246"/>
    <w:rsid w:val="03BB2BEE"/>
    <w:rsid w:val="03C33637"/>
    <w:rsid w:val="03C5064A"/>
    <w:rsid w:val="03C74F98"/>
    <w:rsid w:val="03CA0201"/>
    <w:rsid w:val="03E424F8"/>
    <w:rsid w:val="03E94C2D"/>
    <w:rsid w:val="03FD2384"/>
    <w:rsid w:val="04024246"/>
    <w:rsid w:val="040916DD"/>
    <w:rsid w:val="040D6EAF"/>
    <w:rsid w:val="04161698"/>
    <w:rsid w:val="04194CE4"/>
    <w:rsid w:val="041D0BCC"/>
    <w:rsid w:val="042042C5"/>
    <w:rsid w:val="04274962"/>
    <w:rsid w:val="043568B3"/>
    <w:rsid w:val="04363AE8"/>
    <w:rsid w:val="0443792C"/>
    <w:rsid w:val="045061A3"/>
    <w:rsid w:val="04564DE0"/>
    <w:rsid w:val="04583A5F"/>
    <w:rsid w:val="046C3066"/>
    <w:rsid w:val="0474173D"/>
    <w:rsid w:val="047D34C5"/>
    <w:rsid w:val="047E0CD3"/>
    <w:rsid w:val="047F3831"/>
    <w:rsid w:val="049434E6"/>
    <w:rsid w:val="049C4CDC"/>
    <w:rsid w:val="049F51EA"/>
    <w:rsid w:val="04A4119D"/>
    <w:rsid w:val="04A6769A"/>
    <w:rsid w:val="04AA0978"/>
    <w:rsid w:val="04AB70F7"/>
    <w:rsid w:val="04AD67C4"/>
    <w:rsid w:val="04AE367F"/>
    <w:rsid w:val="04B67CC2"/>
    <w:rsid w:val="04BD38C2"/>
    <w:rsid w:val="04BE4754"/>
    <w:rsid w:val="04C5780A"/>
    <w:rsid w:val="04CC6E56"/>
    <w:rsid w:val="04D21FB2"/>
    <w:rsid w:val="04DF4324"/>
    <w:rsid w:val="04E23328"/>
    <w:rsid w:val="04E6106A"/>
    <w:rsid w:val="04E61F36"/>
    <w:rsid w:val="04E86894"/>
    <w:rsid w:val="04F95F88"/>
    <w:rsid w:val="05055432"/>
    <w:rsid w:val="050634BB"/>
    <w:rsid w:val="05081BA5"/>
    <w:rsid w:val="05087097"/>
    <w:rsid w:val="050D4135"/>
    <w:rsid w:val="05112128"/>
    <w:rsid w:val="051C2CDE"/>
    <w:rsid w:val="051F632A"/>
    <w:rsid w:val="05214896"/>
    <w:rsid w:val="052971A9"/>
    <w:rsid w:val="0539563E"/>
    <w:rsid w:val="053F4D4E"/>
    <w:rsid w:val="05473A95"/>
    <w:rsid w:val="0549044B"/>
    <w:rsid w:val="05681A7F"/>
    <w:rsid w:val="05687CD1"/>
    <w:rsid w:val="0570514D"/>
    <w:rsid w:val="0572467D"/>
    <w:rsid w:val="057A5A02"/>
    <w:rsid w:val="05960C1E"/>
    <w:rsid w:val="05B55125"/>
    <w:rsid w:val="05FE04D4"/>
    <w:rsid w:val="06045D1C"/>
    <w:rsid w:val="061B11E8"/>
    <w:rsid w:val="06301E32"/>
    <w:rsid w:val="063B192D"/>
    <w:rsid w:val="06662574"/>
    <w:rsid w:val="066F07BF"/>
    <w:rsid w:val="06771FAC"/>
    <w:rsid w:val="06904674"/>
    <w:rsid w:val="069761AE"/>
    <w:rsid w:val="069D7E4F"/>
    <w:rsid w:val="06AB4E25"/>
    <w:rsid w:val="06B34F7C"/>
    <w:rsid w:val="06BA630B"/>
    <w:rsid w:val="06C44F16"/>
    <w:rsid w:val="06C53C5A"/>
    <w:rsid w:val="06CB49BC"/>
    <w:rsid w:val="06D505D2"/>
    <w:rsid w:val="06E536A9"/>
    <w:rsid w:val="06FE71BA"/>
    <w:rsid w:val="06FF6413"/>
    <w:rsid w:val="07033F39"/>
    <w:rsid w:val="072E6CF9"/>
    <w:rsid w:val="07577FFE"/>
    <w:rsid w:val="075D1A1A"/>
    <w:rsid w:val="075E75DE"/>
    <w:rsid w:val="07654904"/>
    <w:rsid w:val="076D5A73"/>
    <w:rsid w:val="07766587"/>
    <w:rsid w:val="07862691"/>
    <w:rsid w:val="078D4C03"/>
    <w:rsid w:val="078F7797"/>
    <w:rsid w:val="079019DF"/>
    <w:rsid w:val="07945247"/>
    <w:rsid w:val="07B04DD1"/>
    <w:rsid w:val="07B40FAC"/>
    <w:rsid w:val="07BA233A"/>
    <w:rsid w:val="07C03DF5"/>
    <w:rsid w:val="07E04497"/>
    <w:rsid w:val="07EA0258"/>
    <w:rsid w:val="07F42A82"/>
    <w:rsid w:val="07F43C62"/>
    <w:rsid w:val="07F615C4"/>
    <w:rsid w:val="07F665A6"/>
    <w:rsid w:val="08000695"/>
    <w:rsid w:val="08017F69"/>
    <w:rsid w:val="081A7B62"/>
    <w:rsid w:val="081F6A2B"/>
    <w:rsid w:val="082206EE"/>
    <w:rsid w:val="08236132"/>
    <w:rsid w:val="08310FF5"/>
    <w:rsid w:val="083B347B"/>
    <w:rsid w:val="084279DF"/>
    <w:rsid w:val="086F1377"/>
    <w:rsid w:val="08855F5F"/>
    <w:rsid w:val="08856DEC"/>
    <w:rsid w:val="0898267C"/>
    <w:rsid w:val="08A76D63"/>
    <w:rsid w:val="08B30EBB"/>
    <w:rsid w:val="08CE609D"/>
    <w:rsid w:val="08D127E0"/>
    <w:rsid w:val="08EC29C7"/>
    <w:rsid w:val="0901650F"/>
    <w:rsid w:val="090F509D"/>
    <w:rsid w:val="092C0115"/>
    <w:rsid w:val="09376339"/>
    <w:rsid w:val="09445664"/>
    <w:rsid w:val="094531C6"/>
    <w:rsid w:val="094E3682"/>
    <w:rsid w:val="0955173B"/>
    <w:rsid w:val="09646855"/>
    <w:rsid w:val="09741269"/>
    <w:rsid w:val="097E0A18"/>
    <w:rsid w:val="09834B42"/>
    <w:rsid w:val="09894B0C"/>
    <w:rsid w:val="098E1C76"/>
    <w:rsid w:val="09945539"/>
    <w:rsid w:val="099A53CE"/>
    <w:rsid w:val="09A233BC"/>
    <w:rsid w:val="09AB20DD"/>
    <w:rsid w:val="09B41737"/>
    <w:rsid w:val="09B84C5E"/>
    <w:rsid w:val="09C53944"/>
    <w:rsid w:val="09EF6C13"/>
    <w:rsid w:val="09F92CF6"/>
    <w:rsid w:val="09FE0C04"/>
    <w:rsid w:val="09FE29B2"/>
    <w:rsid w:val="0A0A25CC"/>
    <w:rsid w:val="0A0F7766"/>
    <w:rsid w:val="0A2C39C3"/>
    <w:rsid w:val="0A374116"/>
    <w:rsid w:val="0A4E79B5"/>
    <w:rsid w:val="0A4F76B2"/>
    <w:rsid w:val="0A566E1D"/>
    <w:rsid w:val="0A6071C9"/>
    <w:rsid w:val="0A697931"/>
    <w:rsid w:val="0A7B121A"/>
    <w:rsid w:val="0A7C7157"/>
    <w:rsid w:val="0A7D1BC1"/>
    <w:rsid w:val="0A7D53C7"/>
    <w:rsid w:val="0A800542"/>
    <w:rsid w:val="0A821835"/>
    <w:rsid w:val="0A8601F5"/>
    <w:rsid w:val="0A8A1875"/>
    <w:rsid w:val="0A9037A2"/>
    <w:rsid w:val="0A9114C7"/>
    <w:rsid w:val="0A932840"/>
    <w:rsid w:val="0A977596"/>
    <w:rsid w:val="0A9902EE"/>
    <w:rsid w:val="0A99092D"/>
    <w:rsid w:val="0AC62B2E"/>
    <w:rsid w:val="0AD3167E"/>
    <w:rsid w:val="0AD33E3F"/>
    <w:rsid w:val="0AD6295A"/>
    <w:rsid w:val="0AD6392F"/>
    <w:rsid w:val="0ADA25C7"/>
    <w:rsid w:val="0ADD5B52"/>
    <w:rsid w:val="0AE47DFA"/>
    <w:rsid w:val="0AE52C3E"/>
    <w:rsid w:val="0AE55920"/>
    <w:rsid w:val="0B0142C1"/>
    <w:rsid w:val="0B062074"/>
    <w:rsid w:val="0B185CF6"/>
    <w:rsid w:val="0B1A0A11"/>
    <w:rsid w:val="0B210907"/>
    <w:rsid w:val="0B347C6B"/>
    <w:rsid w:val="0B571D73"/>
    <w:rsid w:val="0B6158EF"/>
    <w:rsid w:val="0B630DBE"/>
    <w:rsid w:val="0B7064AD"/>
    <w:rsid w:val="0B7D12A2"/>
    <w:rsid w:val="0B7E024F"/>
    <w:rsid w:val="0B8543CA"/>
    <w:rsid w:val="0B861C01"/>
    <w:rsid w:val="0B92336F"/>
    <w:rsid w:val="0B925AA8"/>
    <w:rsid w:val="0B984E66"/>
    <w:rsid w:val="0BB80509"/>
    <w:rsid w:val="0BC669F3"/>
    <w:rsid w:val="0BD55995"/>
    <w:rsid w:val="0BE1258C"/>
    <w:rsid w:val="0BE93BEF"/>
    <w:rsid w:val="0BED35B4"/>
    <w:rsid w:val="0C01678A"/>
    <w:rsid w:val="0C083FBC"/>
    <w:rsid w:val="0C0A4FC8"/>
    <w:rsid w:val="0C0B6D27"/>
    <w:rsid w:val="0C1E4256"/>
    <w:rsid w:val="0C231852"/>
    <w:rsid w:val="0C2B1A59"/>
    <w:rsid w:val="0C3516F8"/>
    <w:rsid w:val="0C35452E"/>
    <w:rsid w:val="0C425B07"/>
    <w:rsid w:val="0C747A2B"/>
    <w:rsid w:val="0C7B478E"/>
    <w:rsid w:val="0C825B1D"/>
    <w:rsid w:val="0C833643"/>
    <w:rsid w:val="0C8F3D96"/>
    <w:rsid w:val="0C9814DA"/>
    <w:rsid w:val="0C9C64B3"/>
    <w:rsid w:val="0CA57A5D"/>
    <w:rsid w:val="0CB16402"/>
    <w:rsid w:val="0CB261A6"/>
    <w:rsid w:val="0CBA6215"/>
    <w:rsid w:val="0CBB102F"/>
    <w:rsid w:val="0CBE467B"/>
    <w:rsid w:val="0CC85915"/>
    <w:rsid w:val="0CC936B2"/>
    <w:rsid w:val="0CD67C16"/>
    <w:rsid w:val="0CD8034A"/>
    <w:rsid w:val="0CDB2626"/>
    <w:rsid w:val="0CDB417E"/>
    <w:rsid w:val="0CDB6FDB"/>
    <w:rsid w:val="0CE9152F"/>
    <w:rsid w:val="0CEC568C"/>
    <w:rsid w:val="0CEF5D94"/>
    <w:rsid w:val="0D1D5845"/>
    <w:rsid w:val="0D285248"/>
    <w:rsid w:val="0D2B56A9"/>
    <w:rsid w:val="0D485CA1"/>
    <w:rsid w:val="0D4947F0"/>
    <w:rsid w:val="0D4D7A4E"/>
    <w:rsid w:val="0D554FDF"/>
    <w:rsid w:val="0D5704B7"/>
    <w:rsid w:val="0D58446D"/>
    <w:rsid w:val="0D5A157A"/>
    <w:rsid w:val="0D5A43A4"/>
    <w:rsid w:val="0D85393C"/>
    <w:rsid w:val="0D9A76F7"/>
    <w:rsid w:val="0D9F31D6"/>
    <w:rsid w:val="0DA60E7D"/>
    <w:rsid w:val="0DAA5910"/>
    <w:rsid w:val="0DAC765F"/>
    <w:rsid w:val="0DB317B6"/>
    <w:rsid w:val="0DBA7538"/>
    <w:rsid w:val="0DBE305A"/>
    <w:rsid w:val="0DDA0B35"/>
    <w:rsid w:val="0DEF2F72"/>
    <w:rsid w:val="0DFE4EC3"/>
    <w:rsid w:val="0E060087"/>
    <w:rsid w:val="0E082052"/>
    <w:rsid w:val="0E0A5DCA"/>
    <w:rsid w:val="0E0C4483"/>
    <w:rsid w:val="0E1E7C98"/>
    <w:rsid w:val="0E1F00A2"/>
    <w:rsid w:val="0E323572"/>
    <w:rsid w:val="0E497898"/>
    <w:rsid w:val="0E7D72C5"/>
    <w:rsid w:val="0E854C8B"/>
    <w:rsid w:val="0E8D07A9"/>
    <w:rsid w:val="0E8E58AF"/>
    <w:rsid w:val="0E974791"/>
    <w:rsid w:val="0E9B1118"/>
    <w:rsid w:val="0EB2020F"/>
    <w:rsid w:val="0EBB3568"/>
    <w:rsid w:val="0ECB5DC3"/>
    <w:rsid w:val="0ED048C7"/>
    <w:rsid w:val="0EFE5656"/>
    <w:rsid w:val="0F07055B"/>
    <w:rsid w:val="0F0942D3"/>
    <w:rsid w:val="0F1369A0"/>
    <w:rsid w:val="0F203F97"/>
    <w:rsid w:val="0F214C44"/>
    <w:rsid w:val="0F24241C"/>
    <w:rsid w:val="0F2B14BA"/>
    <w:rsid w:val="0F304D48"/>
    <w:rsid w:val="0F3B7E78"/>
    <w:rsid w:val="0F3D0D9C"/>
    <w:rsid w:val="0F3D3F7D"/>
    <w:rsid w:val="0F3E4CF6"/>
    <w:rsid w:val="0F474DFC"/>
    <w:rsid w:val="0F51059B"/>
    <w:rsid w:val="0F583339"/>
    <w:rsid w:val="0F5A2BFE"/>
    <w:rsid w:val="0F5A5D56"/>
    <w:rsid w:val="0F744AED"/>
    <w:rsid w:val="0F7B1121"/>
    <w:rsid w:val="0F7D32C4"/>
    <w:rsid w:val="0F8F59CD"/>
    <w:rsid w:val="0F9718DF"/>
    <w:rsid w:val="0F9F7483"/>
    <w:rsid w:val="0FA675D7"/>
    <w:rsid w:val="0FAD7620"/>
    <w:rsid w:val="0FAE57C5"/>
    <w:rsid w:val="0FB771F2"/>
    <w:rsid w:val="0FC1070A"/>
    <w:rsid w:val="0FC6728D"/>
    <w:rsid w:val="0FCD56D4"/>
    <w:rsid w:val="0FCE6AE2"/>
    <w:rsid w:val="0FCF09F7"/>
    <w:rsid w:val="0FD05CCB"/>
    <w:rsid w:val="0FD31141"/>
    <w:rsid w:val="0FD67878"/>
    <w:rsid w:val="0FD92A9E"/>
    <w:rsid w:val="0FDA591E"/>
    <w:rsid w:val="0FDC19E8"/>
    <w:rsid w:val="0FE5344B"/>
    <w:rsid w:val="0FE84C7A"/>
    <w:rsid w:val="0FFE6287"/>
    <w:rsid w:val="1006287E"/>
    <w:rsid w:val="1032785A"/>
    <w:rsid w:val="10455D10"/>
    <w:rsid w:val="10472B6F"/>
    <w:rsid w:val="105124F9"/>
    <w:rsid w:val="1065378B"/>
    <w:rsid w:val="106E75C3"/>
    <w:rsid w:val="107B4A8E"/>
    <w:rsid w:val="107C3E68"/>
    <w:rsid w:val="109E630B"/>
    <w:rsid w:val="10AC1CA8"/>
    <w:rsid w:val="10B33707"/>
    <w:rsid w:val="10BA7023"/>
    <w:rsid w:val="10C34956"/>
    <w:rsid w:val="10D42D88"/>
    <w:rsid w:val="10D8237A"/>
    <w:rsid w:val="10DF6B4C"/>
    <w:rsid w:val="10E05AAF"/>
    <w:rsid w:val="10EB4714"/>
    <w:rsid w:val="110215DF"/>
    <w:rsid w:val="11072367"/>
    <w:rsid w:val="110F7B9B"/>
    <w:rsid w:val="1111121D"/>
    <w:rsid w:val="11203B56"/>
    <w:rsid w:val="112C5833"/>
    <w:rsid w:val="11397667"/>
    <w:rsid w:val="113F7CA0"/>
    <w:rsid w:val="114825BE"/>
    <w:rsid w:val="114C66F9"/>
    <w:rsid w:val="114E2D76"/>
    <w:rsid w:val="11593E81"/>
    <w:rsid w:val="115A7068"/>
    <w:rsid w:val="11632BEF"/>
    <w:rsid w:val="116C6D9B"/>
    <w:rsid w:val="11744968"/>
    <w:rsid w:val="11751973"/>
    <w:rsid w:val="11766E1A"/>
    <w:rsid w:val="117B2B3A"/>
    <w:rsid w:val="117E6BDB"/>
    <w:rsid w:val="118A6720"/>
    <w:rsid w:val="118C0549"/>
    <w:rsid w:val="118D4D56"/>
    <w:rsid w:val="11A637D0"/>
    <w:rsid w:val="11AF33C6"/>
    <w:rsid w:val="11B524F0"/>
    <w:rsid w:val="11B77A80"/>
    <w:rsid w:val="11BE5610"/>
    <w:rsid w:val="11C6025A"/>
    <w:rsid w:val="11CC15E8"/>
    <w:rsid w:val="11EE155E"/>
    <w:rsid w:val="11F74564"/>
    <w:rsid w:val="12094FE5"/>
    <w:rsid w:val="120B24D6"/>
    <w:rsid w:val="120D5E88"/>
    <w:rsid w:val="12103566"/>
    <w:rsid w:val="12154559"/>
    <w:rsid w:val="121671DF"/>
    <w:rsid w:val="121E765A"/>
    <w:rsid w:val="122B36E9"/>
    <w:rsid w:val="122C63A6"/>
    <w:rsid w:val="123F20DA"/>
    <w:rsid w:val="12526229"/>
    <w:rsid w:val="12661A3D"/>
    <w:rsid w:val="12795F6E"/>
    <w:rsid w:val="12863E8D"/>
    <w:rsid w:val="128E1A15"/>
    <w:rsid w:val="12931517"/>
    <w:rsid w:val="129C372C"/>
    <w:rsid w:val="12A07F3B"/>
    <w:rsid w:val="12A512EA"/>
    <w:rsid w:val="12A73712"/>
    <w:rsid w:val="12AA7C07"/>
    <w:rsid w:val="12BB419F"/>
    <w:rsid w:val="12BD19DC"/>
    <w:rsid w:val="12C624D8"/>
    <w:rsid w:val="12CD2621"/>
    <w:rsid w:val="12D22C2E"/>
    <w:rsid w:val="12DB7D35"/>
    <w:rsid w:val="12E656F8"/>
    <w:rsid w:val="12E70E2F"/>
    <w:rsid w:val="12EE7937"/>
    <w:rsid w:val="12EF58FA"/>
    <w:rsid w:val="12F13919"/>
    <w:rsid w:val="12F47048"/>
    <w:rsid w:val="12F901BB"/>
    <w:rsid w:val="12FB6F8A"/>
    <w:rsid w:val="12FF117E"/>
    <w:rsid w:val="13031039"/>
    <w:rsid w:val="135917B3"/>
    <w:rsid w:val="135C425F"/>
    <w:rsid w:val="13602F65"/>
    <w:rsid w:val="136F66CF"/>
    <w:rsid w:val="13741F37"/>
    <w:rsid w:val="137D4216"/>
    <w:rsid w:val="138D3262"/>
    <w:rsid w:val="13983E78"/>
    <w:rsid w:val="13AC2165"/>
    <w:rsid w:val="13B81064"/>
    <w:rsid w:val="13D12EE6"/>
    <w:rsid w:val="13D2195C"/>
    <w:rsid w:val="13D74E0E"/>
    <w:rsid w:val="13E477CD"/>
    <w:rsid w:val="13EB7FA9"/>
    <w:rsid w:val="13EE5137"/>
    <w:rsid w:val="13F602E8"/>
    <w:rsid w:val="13FA0AA8"/>
    <w:rsid w:val="13FF7A53"/>
    <w:rsid w:val="140C4679"/>
    <w:rsid w:val="14100D9C"/>
    <w:rsid w:val="14221EEF"/>
    <w:rsid w:val="14222F0F"/>
    <w:rsid w:val="14250D1D"/>
    <w:rsid w:val="143D67CD"/>
    <w:rsid w:val="14426CA2"/>
    <w:rsid w:val="146009E0"/>
    <w:rsid w:val="14644B64"/>
    <w:rsid w:val="148443FC"/>
    <w:rsid w:val="1494463F"/>
    <w:rsid w:val="14970EE8"/>
    <w:rsid w:val="149F11BF"/>
    <w:rsid w:val="14A2553F"/>
    <w:rsid w:val="14B425C8"/>
    <w:rsid w:val="14B545B5"/>
    <w:rsid w:val="14C56864"/>
    <w:rsid w:val="14D85868"/>
    <w:rsid w:val="14DD234F"/>
    <w:rsid w:val="14E01EC4"/>
    <w:rsid w:val="14E37DAC"/>
    <w:rsid w:val="14EA399C"/>
    <w:rsid w:val="15007DA6"/>
    <w:rsid w:val="1508123C"/>
    <w:rsid w:val="151933EB"/>
    <w:rsid w:val="1519659D"/>
    <w:rsid w:val="151B08BC"/>
    <w:rsid w:val="15282FD9"/>
    <w:rsid w:val="15297F81"/>
    <w:rsid w:val="153E4F16"/>
    <w:rsid w:val="154723F7"/>
    <w:rsid w:val="155D523F"/>
    <w:rsid w:val="15713609"/>
    <w:rsid w:val="15741C3B"/>
    <w:rsid w:val="157505F6"/>
    <w:rsid w:val="15793798"/>
    <w:rsid w:val="157D254D"/>
    <w:rsid w:val="157F35EF"/>
    <w:rsid w:val="15913D5E"/>
    <w:rsid w:val="159C0975"/>
    <w:rsid w:val="15B66837"/>
    <w:rsid w:val="15B85BF8"/>
    <w:rsid w:val="15C92400"/>
    <w:rsid w:val="15D26AAB"/>
    <w:rsid w:val="15D41F99"/>
    <w:rsid w:val="15FC2B6A"/>
    <w:rsid w:val="15FF1F8C"/>
    <w:rsid w:val="16041350"/>
    <w:rsid w:val="1606331B"/>
    <w:rsid w:val="161F4C2A"/>
    <w:rsid w:val="162639BD"/>
    <w:rsid w:val="16276585"/>
    <w:rsid w:val="162931E1"/>
    <w:rsid w:val="163360DA"/>
    <w:rsid w:val="1633712C"/>
    <w:rsid w:val="163A1216"/>
    <w:rsid w:val="163E3563"/>
    <w:rsid w:val="16543395"/>
    <w:rsid w:val="16610551"/>
    <w:rsid w:val="16660077"/>
    <w:rsid w:val="16731C0F"/>
    <w:rsid w:val="16821EE2"/>
    <w:rsid w:val="168529BB"/>
    <w:rsid w:val="168801D3"/>
    <w:rsid w:val="16947202"/>
    <w:rsid w:val="16B0772A"/>
    <w:rsid w:val="16B614D8"/>
    <w:rsid w:val="16C32FBA"/>
    <w:rsid w:val="16C90DC6"/>
    <w:rsid w:val="16D64C0F"/>
    <w:rsid w:val="16D9230F"/>
    <w:rsid w:val="16D93168"/>
    <w:rsid w:val="16DD3446"/>
    <w:rsid w:val="16E546BE"/>
    <w:rsid w:val="16E82A20"/>
    <w:rsid w:val="16EC3D61"/>
    <w:rsid w:val="16FF3FC3"/>
    <w:rsid w:val="1702071A"/>
    <w:rsid w:val="170F0342"/>
    <w:rsid w:val="17180B22"/>
    <w:rsid w:val="17215F32"/>
    <w:rsid w:val="172865B7"/>
    <w:rsid w:val="172C2ED6"/>
    <w:rsid w:val="173C0FBE"/>
    <w:rsid w:val="17445149"/>
    <w:rsid w:val="17445E0C"/>
    <w:rsid w:val="17463BEB"/>
    <w:rsid w:val="17494426"/>
    <w:rsid w:val="175859D2"/>
    <w:rsid w:val="176302F9"/>
    <w:rsid w:val="176D1177"/>
    <w:rsid w:val="17756DA8"/>
    <w:rsid w:val="177B5642"/>
    <w:rsid w:val="177F7176"/>
    <w:rsid w:val="1787213C"/>
    <w:rsid w:val="178F2ED4"/>
    <w:rsid w:val="179916AE"/>
    <w:rsid w:val="179B2648"/>
    <w:rsid w:val="17A032FB"/>
    <w:rsid w:val="17B46DA6"/>
    <w:rsid w:val="17BE19D3"/>
    <w:rsid w:val="17CE5740"/>
    <w:rsid w:val="17D46287"/>
    <w:rsid w:val="17E3651F"/>
    <w:rsid w:val="17E551B2"/>
    <w:rsid w:val="17FD756B"/>
    <w:rsid w:val="180A0F27"/>
    <w:rsid w:val="181666C2"/>
    <w:rsid w:val="182061EA"/>
    <w:rsid w:val="182E7A19"/>
    <w:rsid w:val="18374E78"/>
    <w:rsid w:val="183E2A14"/>
    <w:rsid w:val="18404694"/>
    <w:rsid w:val="184243B2"/>
    <w:rsid w:val="18446F21"/>
    <w:rsid w:val="187634F6"/>
    <w:rsid w:val="1876405C"/>
    <w:rsid w:val="188F3540"/>
    <w:rsid w:val="189415E1"/>
    <w:rsid w:val="18951540"/>
    <w:rsid w:val="189A2440"/>
    <w:rsid w:val="18A73609"/>
    <w:rsid w:val="18AE37F5"/>
    <w:rsid w:val="18B71157"/>
    <w:rsid w:val="18C00D6B"/>
    <w:rsid w:val="18D21946"/>
    <w:rsid w:val="18D47700"/>
    <w:rsid w:val="18D55226"/>
    <w:rsid w:val="18D96837"/>
    <w:rsid w:val="18E67433"/>
    <w:rsid w:val="18EC395A"/>
    <w:rsid w:val="18EC71F7"/>
    <w:rsid w:val="18F6154D"/>
    <w:rsid w:val="190B3A5A"/>
    <w:rsid w:val="19193365"/>
    <w:rsid w:val="191F20D1"/>
    <w:rsid w:val="19393A07"/>
    <w:rsid w:val="193C7053"/>
    <w:rsid w:val="19650CF4"/>
    <w:rsid w:val="1968609A"/>
    <w:rsid w:val="19687E48"/>
    <w:rsid w:val="196A1E12"/>
    <w:rsid w:val="196F7429"/>
    <w:rsid w:val="19720CC7"/>
    <w:rsid w:val="19792371"/>
    <w:rsid w:val="19815ED2"/>
    <w:rsid w:val="1981715C"/>
    <w:rsid w:val="198729C4"/>
    <w:rsid w:val="1989605E"/>
    <w:rsid w:val="19904071"/>
    <w:rsid w:val="19967FB1"/>
    <w:rsid w:val="199B5157"/>
    <w:rsid w:val="199F3000"/>
    <w:rsid w:val="19A215AC"/>
    <w:rsid w:val="19AA4D92"/>
    <w:rsid w:val="19AF4C20"/>
    <w:rsid w:val="19B117EF"/>
    <w:rsid w:val="19B372A4"/>
    <w:rsid w:val="19B66E06"/>
    <w:rsid w:val="19CC3D4F"/>
    <w:rsid w:val="19D906A0"/>
    <w:rsid w:val="19DD6E4C"/>
    <w:rsid w:val="19E04DC1"/>
    <w:rsid w:val="19E219A9"/>
    <w:rsid w:val="19E326C8"/>
    <w:rsid w:val="19E971DB"/>
    <w:rsid w:val="19FB6F0E"/>
    <w:rsid w:val="1A004525"/>
    <w:rsid w:val="1A151ED2"/>
    <w:rsid w:val="1A1678A4"/>
    <w:rsid w:val="1A1D3CEF"/>
    <w:rsid w:val="1A200723"/>
    <w:rsid w:val="1A206975"/>
    <w:rsid w:val="1A3D12D5"/>
    <w:rsid w:val="1A475CB0"/>
    <w:rsid w:val="1A4950BA"/>
    <w:rsid w:val="1A4A2B56"/>
    <w:rsid w:val="1A5150E7"/>
    <w:rsid w:val="1A541902"/>
    <w:rsid w:val="1A5A1E87"/>
    <w:rsid w:val="1A6A1DE9"/>
    <w:rsid w:val="1A6F02EB"/>
    <w:rsid w:val="1A7623E4"/>
    <w:rsid w:val="1A8B3F42"/>
    <w:rsid w:val="1A8E1B30"/>
    <w:rsid w:val="1AAB4490"/>
    <w:rsid w:val="1ABF7F3C"/>
    <w:rsid w:val="1AC13CB4"/>
    <w:rsid w:val="1AD05CA5"/>
    <w:rsid w:val="1ADC7CD8"/>
    <w:rsid w:val="1AE3508A"/>
    <w:rsid w:val="1AE41750"/>
    <w:rsid w:val="1AF83696"/>
    <w:rsid w:val="1AFA0F74"/>
    <w:rsid w:val="1B1069E9"/>
    <w:rsid w:val="1B3D0FC9"/>
    <w:rsid w:val="1B495A57"/>
    <w:rsid w:val="1B527002"/>
    <w:rsid w:val="1B582138"/>
    <w:rsid w:val="1B811695"/>
    <w:rsid w:val="1B81411E"/>
    <w:rsid w:val="1B8229A5"/>
    <w:rsid w:val="1B8D410D"/>
    <w:rsid w:val="1B8F552A"/>
    <w:rsid w:val="1B9118F7"/>
    <w:rsid w:val="1B923095"/>
    <w:rsid w:val="1B99253B"/>
    <w:rsid w:val="1B99573A"/>
    <w:rsid w:val="1B9A62B3"/>
    <w:rsid w:val="1B9D3E93"/>
    <w:rsid w:val="1BA809D0"/>
    <w:rsid w:val="1BAE6330"/>
    <w:rsid w:val="1BAE7C63"/>
    <w:rsid w:val="1BB81ADD"/>
    <w:rsid w:val="1BD0368D"/>
    <w:rsid w:val="1BDB1F9D"/>
    <w:rsid w:val="1BDC5B7C"/>
    <w:rsid w:val="1BE40561"/>
    <w:rsid w:val="1BE62D04"/>
    <w:rsid w:val="1BE72147"/>
    <w:rsid w:val="1BE85270"/>
    <w:rsid w:val="1BFD0D1C"/>
    <w:rsid w:val="1C0D4535"/>
    <w:rsid w:val="1C121358"/>
    <w:rsid w:val="1C2821C3"/>
    <w:rsid w:val="1C2C326B"/>
    <w:rsid w:val="1C2E599D"/>
    <w:rsid w:val="1C336C2A"/>
    <w:rsid w:val="1C33748A"/>
    <w:rsid w:val="1C364614"/>
    <w:rsid w:val="1C4529B6"/>
    <w:rsid w:val="1C455CE3"/>
    <w:rsid w:val="1C4E1577"/>
    <w:rsid w:val="1C6020D0"/>
    <w:rsid w:val="1C69792D"/>
    <w:rsid w:val="1C785758"/>
    <w:rsid w:val="1C8B1654"/>
    <w:rsid w:val="1C8F393E"/>
    <w:rsid w:val="1C9A0C76"/>
    <w:rsid w:val="1CAC2742"/>
    <w:rsid w:val="1CAD041D"/>
    <w:rsid w:val="1CC35890"/>
    <w:rsid w:val="1CC42B21"/>
    <w:rsid w:val="1CC54EDE"/>
    <w:rsid w:val="1CCF093B"/>
    <w:rsid w:val="1CDF40E1"/>
    <w:rsid w:val="1CE07D6E"/>
    <w:rsid w:val="1CF643E7"/>
    <w:rsid w:val="1D081FED"/>
    <w:rsid w:val="1D104A7F"/>
    <w:rsid w:val="1D116EE3"/>
    <w:rsid w:val="1D1502E7"/>
    <w:rsid w:val="1D1C3EB6"/>
    <w:rsid w:val="1D23309C"/>
    <w:rsid w:val="1D28001A"/>
    <w:rsid w:val="1D346688"/>
    <w:rsid w:val="1D383FD6"/>
    <w:rsid w:val="1D4961E3"/>
    <w:rsid w:val="1D5639E8"/>
    <w:rsid w:val="1D61352C"/>
    <w:rsid w:val="1D6E3BC0"/>
    <w:rsid w:val="1D837D50"/>
    <w:rsid w:val="1D8666D1"/>
    <w:rsid w:val="1D877B61"/>
    <w:rsid w:val="1D94216B"/>
    <w:rsid w:val="1DA46CAF"/>
    <w:rsid w:val="1DAA25AB"/>
    <w:rsid w:val="1DAD6772"/>
    <w:rsid w:val="1DB21DE7"/>
    <w:rsid w:val="1DB418AE"/>
    <w:rsid w:val="1DC6338F"/>
    <w:rsid w:val="1DCA10D2"/>
    <w:rsid w:val="1DCD068B"/>
    <w:rsid w:val="1DCF47A2"/>
    <w:rsid w:val="1DDB6BEE"/>
    <w:rsid w:val="1DE704D9"/>
    <w:rsid w:val="1DEC32BA"/>
    <w:rsid w:val="1DF443A0"/>
    <w:rsid w:val="1DF95513"/>
    <w:rsid w:val="1E005185"/>
    <w:rsid w:val="1E0B2C54"/>
    <w:rsid w:val="1E0E6048"/>
    <w:rsid w:val="1E0E73DA"/>
    <w:rsid w:val="1E1217BE"/>
    <w:rsid w:val="1E1C7453"/>
    <w:rsid w:val="1E220F0E"/>
    <w:rsid w:val="1E2D0FEB"/>
    <w:rsid w:val="1E3038B6"/>
    <w:rsid w:val="1E340C41"/>
    <w:rsid w:val="1E3616FB"/>
    <w:rsid w:val="1E374F8B"/>
    <w:rsid w:val="1E5C1A24"/>
    <w:rsid w:val="1E680E42"/>
    <w:rsid w:val="1E6A6411"/>
    <w:rsid w:val="1E746B9E"/>
    <w:rsid w:val="1E786D7F"/>
    <w:rsid w:val="1E7A71D1"/>
    <w:rsid w:val="1E8F0DD8"/>
    <w:rsid w:val="1E93748C"/>
    <w:rsid w:val="1E9656B2"/>
    <w:rsid w:val="1E9D2342"/>
    <w:rsid w:val="1EA840ED"/>
    <w:rsid w:val="1EA9481E"/>
    <w:rsid w:val="1EAF1A42"/>
    <w:rsid w:val="1EB00016"/>
    <w:rsid w:val="1EB12291"/>
    <w:rsid w:val="1EB2209B"/>
    <w:rsid w:val="1ECE03E2"/>
    <w:rsid w:val="1ED11BB1"/>
    <w:rsid w:val="1EDC5F7D"/>
    <w:rsid w:val="1EDE3955"/>
    <w:rsid w:val="1EE066D3"/>
    <w:rsid w:val="1EF230C2"/>
    <w:rsid w:val="1EF82B38"/>
    <w:rsid w:val="1EF94651"/>
    <w:rsid w:val="1EFE3307"/>
    <w:rsid w:val="1F016D75"/>
    <w:rsid w:val="1F160C3D"/>
    <w:rsid w:val="1F1B7B41"/>
    <w:rsid w:val="1F2B2044"/>
    <w:rsid w:val="1F32224A"/>
    <w:rsid w:val="1F354C71"/>
    <w:rsid w:val="1F6132DC"/>
    <w:rsid w:val="1F620B35"/>
    <w:rsid w:val="1F645556"/>
    <w:rsid w:val="1F6D61B8"/>
    <w:rsid w:val="1F6E4CA1"/>
    <w:rsid w:val="1F8D59B8"/>
    <w:rsid w:val="1F901EA7"/>
    <w:rsid w:val="1F9124B8"/>
    <w:rsid w:val="1F9C4CF0"/>
    <w:rsid w:val="1FAA11BB"/>
    <w:rsid w:val="1FB57B5F"/>
    <w:rsid w:val="1FB931AC"/>
    <w:rsid w:val="1FBE4C66"/>
    <w:rsid w:val="1FC6467C"/>
    <w:rsid w:val="1FCC32AC"/>
    <w:rsid w:val="1FDA6A1D"/>
    <w:rsid w:val="1FF163E5"/>
    <w:rsid w:val="20153850"/>
    <w:rsid w:val="20176124"/>
    <w:rsid w:val="201C7BDE"/>
    <w:rsid w:val="202A5E57"/>
    <w:rsid w:val="202D5948"/>
    <w:rsid w:val="20326079"/>
    <w:rsid w:val="20337C83"/>
    <w:rsid w:val="20390B4A"/>
    <w:rsid w:val="204E1415"/>
    <w:rsid w:val="205E1FA5"/>
    <w:rsid w:val="205E47E3"/>
    <w:rsid w:val="20705C84"/>
    <w:rsid w:val="20735A50"/>
    <w:rsid w:val="2076109D"/>
    <w:rsid w:val="20777DA9"/>
    <w:rsid w:val="207D242B"/>
    <w:rsid w:val="207E2F12"/>
    <w:rsid w:val="20876669"/>
    <w:rsid w:val="208F22AE"/>
    <w:rsid w:val="209150AE"/>
    <w:rsid w:val="20971F7F"/>
    <w:rsid w:val="20AF30D9"/>
    <w:rsid w:val="20B56069"/>
    <w:rsid w:val="20BC792D"/>
    <w:rsid w:val="20C04A0E"/>
    <w:rsid w:val="20CE082F"/>
    <w:rsid w:val="20CE2C87"/>
    <w:rsid w:val="20ED74F8"/>
    <w:rsid w:val="20FD17BE"/>
    <w:rsid w:val="21050673"/>
    <w:rsid w:val="21156B08"/>
    <w:rsid w:val="211663DC"/>
    <w:rsid w:val="211A411E"/>
    <w:rsid w:val="211F67AA"/>
    <w:rsid w:val="21266C1A"/>
    <w:rsid w:val="212B632B"/>
    <w:rsid w:val="213571AA"/>
    <w:rsid w:val="21372103"/>
    <w:rsid w:val="21394F57"/>
    <w:rsid w:val="21430872"/>
    <w:rsid w:val="215A6C10"/>
    <w:rsid w:val="215F6F0B"/>
    <w:rsid w:val="216D44C6"/>
    <w:rsid w:val="217032C2"/>
    <w:rsid w:val="21747CD2"/>
    <w:rsid w:val="21874C0C"/>
    <w:rsid w:val="218D4053"/>
    <w:rsid w:val="219832A4"/>
    <w:rsid w:val="219860B0"/>
    <w:rsid w:val="21B170D7"/>
    <w:rsid w:val="21B87493"/>
    <w:rsid w:val="21BC7F0C"/>
    <w:rsid w:val="21C10A3D"/>
    <w:rsid w:val="21C17AEA"/>
    <w:rsid w:val="21DD7294"/>
    <w:rsid w:val="21DF33F9"/>
    <w:rsid w:val="21F52495"/>
    <w:rsid w:val="21F7620D"/>
    <w:rsid w:val="220628F4"/>
    <w:rsid w:val="220C2760"/>
    <w:rsid w:val="221A4255"/>
    <w:rsid w:val="22250FCC"/>
    <w:rsid w:val="223851C9"/>
    <w:rsid w:val="22486EED"/>
    <w:rsid w:val="224B0307"/>
    <w:rsid w:val="22543DA3"/>
    <w:rsid w:val="22581AF9"/>
    <w:rsid w:val="22636E4D"/>
    <w:rsid w:val="226A59DC"/>
    <w:rsid w:val="22752024"/>
    <w:rsid w:val="227B5090"/>
    <w:rsid w:val="227E3379"/>
    <w:rsid w:val="228C5DA0"/>
    <w:rsid w:val="2291753C"/>
    <w:rsid w:val="229D525F"/>
    <w:rsid w:val="229E0D7F"/>
    <w:rsid w:val="22A068A5"/>
    <w:rsid w:val="22A11C5E"/>
    <w:rsid w:val="22A86A88"/>
    <w:rsid w:val="22C40CFD"/>
    <w:rsid w:val="22C57E38"/>
    <w:rsid w:val="22E83DA8"/>
    <w:rsid w:val="22ED6D05"/>
    <w:rsid w:val="22FF71D3"/>
    <w:rsid w:val="23005679"/>
    <w:rsid w:val="230956DE"/>
    <w:rsid w:val="23112F9B"/>
    <w:rsid w:val="232474D6"/>
    <w:rsid w:val="2327604A"/>
    <w:rsid w:val="2329689A"/>
    <w:rsid w:val="232E062B"/>
    <w:rsid w:val="233139A1"/>
    <w:rsid w:val="2331574F"/>
    <w:rsid w:val="233768FA"/>
    <w:rsid w:val="233C2631"/>
    <w:rsid w:val="234002D0"/>
    <w:rsid w:val="234234BF"/>
    <w:rsid w:val="235369F5"/>
    <w:rsid w:val="23594390"/>
    <w:rsid w:val="236B6EB3"/>
    <w:rsid w:val="23812232"/>
    <w:rsid w:val="238D73C8"/>
    <w:rsid w:val="23953F30"/>
    <w:rsid w:val="23A3664D"/>
    <w:rsid w:val="23AA7A36"/>
    <w:rsid w:val="23AB11E2"/>
    <w:rsid w:val="23B00D6A"/>
    <w:rsid w:val="23CB0842"/>
    <w:rsid w:val="23E63461"/>
    <w:rsid w:val="23EB5808"/>
    <w:rsid w:val="23F004AE"/>
    <w:rsid w:val="23FA4168"/>
    <w:rsid w:val="24083670"/>
    <w:rsid w:val="24101808"/>
    <w:rsid w:val="24172B97"/>
    <w:rsid w:val="2419542A"/>
    <w:rsid w:val="241A2E2A"/>
    <w:rsid w:val="24261EF4"/>
    <w:rsid w:val="24311EAA"/>
    <w:rsid w:val="2450116D"/>
    <w:rsid w:val="2452705D"/>
    <w:rsid w:val="24572F93"/>
    <w:rsid w:val="246006EE"/>
    <w:rsid w:val="246123DC"/>
    <w:rsid w:val="246555E1"/>
    <w:rsid w:val="24711C3E"/>
    <w:rsid w:val="24815195"/>
    <w:rsid w:val="248747AB"/>
    <w:rsid w:val="248A2594"/>
    <w:rsid w:val="249B1F68"/>
    <w:rsid w:val="24A3267C"/>
    <w:rsid w:val="24A40D43"/>
    <w:rsid w:val="24A473CC"/>
    <w:rsid w:val="24A61347"/>
    <w:rsid w:val="24BA7B81"/>
    <w:rsid w:val="24C841E5"/>
    <w:rsid w:val="24CC3981"/>
    <w:rsid w:val="24CD14A7"/>
    <w:rsid w:val="24E76A0D"/>
    <w:rsid w:val="24F160DB"/>
    <w:rsid w:val="24FB4DD6"/>
    <w:rsid w:val="25076767"/>
    <w:rsid w:val="250E5D48"/>
    <w:rsid w:val="25121AF5"/>
    <w:rsid w:val="25326D4B"/>
    <w:rsid w:val="25453733"/>
    <w:rsid w:val="25585215"/>
    <w:rsid w:val="25590322"/>
    <w:rsid w:val="25591CA4"/>
    <w:rsid w:val="256B4E70"/>
    <w:rsid w:val="256E7DFB"/>
    <w:rsid w:val="25971A62"/>
    <w:rsid w:val="25995E07"/>
    <w:rsid w:val="25997872"/>
    <w:rsid w:val="259A6743"/>
    <w:rsid w:val="25A155AC"/>
    <w:rsid w:val="25AB7A3A"/>
    <w:rsid w:val="25AD37B3"/>
    <w:rsid w:val="25B5574C"/>
    <w:rsid w:val="25B7747A"/>
    <w:rsid w:val="25BE7A27"/>
    <w:rsid w:val="25D54AB7"/>
    <w:rsid w:val="25E87895"/>
    <w:rsid w:val="25EE76BE"/>
    <w:rsid w:val="25F0544D"/>
    <w:rsid w:val="2605643E"/>
    <w:rsid w:val="260742EA"/>
    <w:rsid w:val="26282E39"/>
    <w:rsid w:val="263064F4"/>
    <w:rsid w:val="263A21A9"/>
    <w:rsid w:val="2642757C"/>
    <w:rsid w:val="265314D8"/>
    <w:rsid w:val="2661459D"/>
    <w:rsid w:val="26695200"/>
    <w:rsid w:val="266B0F78"/>
    <w:rsid w:val="26871C47"/>
    <w:rsid w:val="269E2860"/>
    <w:rsid w:val="26A742FB"/>
    <w:rsid w:val="26B267A0"/>
    <w:rsid w:val="26C72602"/>
    <w:rsid w:val="26E06270"/>
    <w:rsid w:val="26E644D4"/>
    <w:rsid w:val="26F61189"/>
    <w:rsid w:val="27003DB6"/>
    <w:rsid w:val="27111B1F"/>
    <w:rsid w:val="27182EAE"/>
    <w:rsid w:val="271B246D"/>
    <w:rsid w:val="271C605C"/>
    <w:rsid w:val="273248B8"/>
    <w:rsid w:val="273677D8"/>
    <w:rsid w:val="2739373B"/>
    <w:rsid w:val="273B3040"/>
    <w:rsid w:val="274814A0"/>
    <w:rsid w:val="276334B2"/>
    <w:rsid w:val="276F1C0A"/>
    <w:rsid w:val="277D533A"/>
    <w:rsid w:val="278261FE"/>
    <w:rsid w:val="278607B6"/>
    <w:rsid w:val="27937818"/>
    <w:rsid w:val="279A0E46"/>
    <w:rsid w:val="279A59FF"/>
    <w:rsid w:val="279D7857"/>
    <w:rsid w:val="27A110F5"/>
    <w:rsid w:val="27A14CC4"/>
    <w:rsid w:val="27A209C9"/>
    <w:rsid w:val="27A504B9"/>
    <w:rsid w:val="27BC1E12"/>
    <w:rsid w:val="27BC580C"/>
    <w:rsid w:val="27BC6787"/>
    <w:rsid w:val="27CB4F27"/>
    <w:rsid w:val="27CD0834"/>
    <w:rsid w:val="27D34441"/>
    <w:rsid w:val="27E37221"/>
    <w:rsid w:val="27E66EB0"/>
    <w:rsid w:val="27EB74D5"/>
    <w:rsid w:val="27F76F67"/>
    <w:rsid w:val="281802B9"/>
    <w:rsid w:val="281B6B4A"/>
    <w:rsid w:val="282F6F65"/>
    <w:rsid w:val="284D302B"/>
    <w:rsid w:val="285525AD"/>
    <w:rsid w:val="28577A06"/>
    <w:rsid w:val="28610884"/>
    <w:rsid w:val="286D547B"/>
    <w:rsid w:val="28706D19"/>
    <w:rsid w:val="287560DE"/>
    <w:rsid w:val="2881626C"/>
    <w:rsid w:val="288E3762"/>
    <w:rsid w:val="288F0CA1"/>
    <w:rsid w:val="28976054"/>
    <w:rsid w:val="28AB185F"/>
    <w:rsid w:val="28B9421C"/>
    <w:rsid w:val="28BC2A84"/>
    <w:rsid w:val="28C033E3"/>
    <w:rsid w:val="28CF3A40"/>
    <w:rsid w:val="28D52CEF"/>
    <w:rsid w:val="28DA6DEB"/>
    <w:rsid w:val="28E079FB"/>
    <w:rsid w:val="28EC18E6"/>
    <w:rsid w:val="28ED4AB9"/>
    <w:rsid w:val="28FB330C"/>
    <w:rsid w:val="28FB3E89"/>
    <w:rsid w:val="291878CE"/>
    <w:rsid w:val="292B6A5A"/>
    <w:rsid w:val="293C61D0"/>
    <w:rsid w:val="29420CFC"/>
    <w:rsid w:val="29421BA4"/>
    <w:rsid w:val="294D13A0"/>
    <w:rsid w:val="294E705B"/>
    <w:rsid w:val="29591D3F"/>
    <w:rsid w:val="29626662"/>
    <w:rsid w:val="2969542F"/>
    <w:rsid w:val="296E3BA4"/>
    <w:rsid w:val="298A4173"/>
    <w:rsid w:val="29B13146"/>
    <w:rsid w:val="29C966E1"/>
    <w:rsid w:val="29D62BAC"/>
    <w:rsid w:val="29EC2E55"/>
    <w:rsid w:val="29EE6148"/>
    <w:rsid w:val="29F13C83"/>
    <w:rsid w:val="29F8727E"/>
    <w:rsid w:val="29FC79D8"/>
    <w:rsid w:val="2A001551"/>
    <w:rsid w:val="2A107838"/>
    <w:rsid w:val="2A13795C"/>
    <w:rsid w:val="2A1D07DB"/>
    <w:rsid w:val="2A1D495C"/>
    <w:rsid w:val="2A2B739C"/>
    <w:rsid w:val="2A3D2C2B"/>
    <w:rsid w:val="2A41096D"/>
    <w:rsid w:val="2A41271B"/>
    <w:rsid w:val="2A426494"/>
    <w:rsid w:val="2A4E1EE6"/>
    <w:rsid w:val="2A546E6F"/>
    <w:rsid w:val="2A581813"/>
    <w:rsid w:val="2A6603D4"/>
    <w:rsid w:val="2A6E0847"/>
    <w:rsid w:val="2A783C63"/>
    <w:rsid w:val="2A82486D"/>
    <w:rsid w:val="2A865445"/>
    <w:rsid w:val="2A8940C2"/>
    <w:rsid w:val="2A8C3CDE"/>
    <w:rsid w:val="2A9C249E"/>
    <w:rsid w:val="2AA333D6"/>
    <w:rsid w:val="2AA44602"/>
    <w:rsid w:val="2AA83FB1"/>
    <w:rsid w:val="2AA84854"/>
    <w:rsid w:val="2AB648CF"/>
    <w:rsid w:val="2AC5799B"/>
    <w:rsid w:val="2AC64E8D"/>
    <w:rsid w:val="2AC82E3D"/>
    <w:rsid w:val="2AD258B2"/>
    <w:rsid w:val="2ADD39CC"/>
    <w:rsid w:val="2AE22F42"/>
    <w:rsid w:val="2AE337D3"/>
    <w:rsid w:val="2B040F10"/>
    <w:rsid w:val="2B081D50"/>
    <w:rsid w:val="2B0A6AC4"/>
    <w:rsid w:val="2B1226F3"/>
    <w:rsid w:val="2B275DB5"/>
    <w:rsid w:val="2B2E53E7"/>
    <w:rsid w:val="2B3527D2"/>
    <w:rsid w:val="2B4029D3"/>
    <w:rsid w:val="2B4F74FE"/>
    <w:rsid w:val="2B5F2888"/>
    <w:rsid w:val="2B71497B"/>
    <w:rsid w:val="2B7320C0"/>
    <w:rsid w:val="2B786611"/>
    <w:rsid w:val="2B7E04C9"/>
    <w:rsid w:val="2B7F3E6C"/>
    <w:rsid w:val="2B8072A0"/>
    <w:rsid w:val="2B8A1EA0"/>
    <w:rsid w:val="2B8F7FAE"/>
    <w:rsid w:val="2B9C5275"/>
    <w:rsid w:val="2BA51285"/>
    <w:rsid w:val="2BAA2542"/>
    <w:rsid w:val="2BB806B3"/>
    <w:rsid w:val="2BB92785"/>
    <w:rsid w:val="2BBC3D43"/>
    <w:rsid w:val="2BBE7D9C"/>
    <w:rsid w:val="2BC00F76"/>
    <w:rsid w:val="2BC87010"/>
    <w:rsid w:val="2BC96E6C"/>
    <w:rsid w:val="2BD15F85"/>
    <w:rsid w:val="2BDB26D7"/>
    <w:rsid w:val="2BE12044"/>
    <w:rsid w:val="2BE315B0"/>
    <w:rsid w:val="2C11436F"/>
    <w:rsid w:val="2C191F9D"/>
    <w:rsid w:val="2C2A5683"/>
    <w:rsid w:val="2C2D651F"/>
    <w:rsid w:val="2C385DA0"/>
    <w:rsid w:val="2C536736"/>
    <w:rsid w:val="2C623EC5"/>
    <w:rsid w:val="2C6A6029"/>
    <w:rsid w:val="2C772424"/>
    <w:rsid w:val="2C7C04FF"/>
    <w:rsid w:val="2C820DC9"/>
    <w:rsid w:val="2C8830ED"/>
    <w:rsid w:val="2C90798A"/>
    <w:rsid w:val="2C9D24EC"/>
    <w:rsid w:val="2C9F7573"/>
    <w:rsid w:val="2CA058DE"/>
    <w:rsid w:val="2CAD5E46"/>
    <w:rsid w:val="2CB74F17"/>
    <w:rsid w:val="2CB84C66"/>
    <w:rsid w:val="2CB966DB"/>
    <w:rsid w:val="2CBA2995"/>
    <w:rsid w:val="2CC80BFF"/>
    <w:rsid w:val="2CCB2770"/>
    <w:rsid w:val="2CE165CF"/>
    <w:rsid w:val="2CEF44ED"/>
    <w:rsid w:val="2D2D14DF"/>
    <w:rsid w:val="2D32663F"/>
    <w:rsid w:val="2D3567D4"/>
    <w:rsid w:val="2D3B4E52"/>
    <w:rsid w:val="2D4A18EA"/>
    <w:rsid w:val="2D502C75"/>
    <w:rsid w:val="2D512EE7"/>
    <w:rsid w:val="2D536E7A"/>
    <w:rsid w:val="2D613ABF"/>
    <w:rsid w:val="2D621327"/>
    <w:rsid w:val="2D6C48A2"/>
    <w:rsid w:val="2D706302"/>
    <w:rsid w:val="2D7534FD"/>
    <w:rsid w:val="2D796BC4"/>
    <w:rsid w:val="2D80355B"/>
    <w:rsid w:val="2D96734F"/>
    <w:rsid w:val="2D991E81"/>
    <w:rsid w:val="2DB3017E"/>
    <w:rsid w:val="2DB63420"/>
    <w:rsid w:val="2DBD655D"/>
    <w:rsid w:val="2DD0165C"/>
    <w:rsid w:val="2DE2142E"/>
    <w:rsid w:val="2DEF3933"/>
    <w:rsid w:val="2DF61D27"/>
    <w:rsid w:val="2DF9330D"/>
    <w:rsid w:val="2DFB7085"/>
    <w:rsid w:val="2E041312"/>
    <w:rsid w:val="2E0C1888"/>
    <w:rsid w:val="2E0E6DB8"/>
    <w:rsid w:val="2E0F7FE5"/>
    <w:rsid w:val="2E230A42"/>
    <w:rsid w:val="2E2E1B4B"/>
    <w:rsid w:val="2E367B8D"/>
    <w:rsid w:val="2E3734F7"/>
    <w:rsid w:val="2E40344D"/>
    <w:rsid w:val="2E4C629D"/>
    <w:rsid w:val="2E583A9E"/>
    <w:rsid w:val="2E6B420B"/>
    <w:rsid w:val="2E6F3155"/>
    <w:rsid w:val="2E727704"/>
    <w:rsid w:val="2E757F38"/>
    <w:rsid w:val="2E9C0E80"/>
    <w:rsid w:val="2EA53BF6"/>
    <w:rsid w:val="2EA75CC0"/>
    <w:rsid w:val="2EB920D4"/>
    <w:rsid w:val="2EBC6814"/>
    <w:rsid w:val="2EBD11D4"/>
    <w:rsid w:val="2EC467A4"/>
    <w:rsid w:val="2EEE0998"/>
    <w:rsid w:val="2F0676FE"/>
    <w:rsid w:val="2F067A90"/>
    <w:rsid w:val="2F087CAC"/>
    <w:rsid w:val="2F0C1532"/>
    <w:rsid w:val="2F0C55D5"/>
    <w:rsid w:val="2F230642"/>
    <w:rsid w:val="2F242423"/>
    <w:rsid w:val="2F2763F4"/>
    <w:rsid w:val="2F324D29"/>
    <w:rsid w:val="2F520F27"/>
    <w:rsid w:val="2F522BBB"/>
    <w:rsid w:val="2F53021D"/>
    <w:rsid w:val="2F544C9F"/>
    <w:rsid w:val="2F590507"/>
    <w:rsid w:val="2F6628DC"/>
    <w:rsid w:val="2F6E2B2F"/>
    <w:rsid w:val="2F813D41"/>
    <w:rsid w:val="2F8530AA"/>
    <w:rsid w:val="2F9203E9"/>
    <w:rsid w:val="2F9B4F5A"/>
    <w:rsid w:val="2F9D416A"/>
    <w:rsid w:val="2FAA40AC"/>
    <w:rsid w:val="2FAD7EB2"/>
    <w:rsid w:val="2FAF1EA0"/>
    <w:rsid w:val="2FC51CEF"/>
    <w:rsid w:val="2FD9234F"/>
    <w:rsid w:val="2FDB53C0"/>
    <w:rsid w:val="2FE31B0B"/>
    <w:rsid w:val="2FE36023"/>
    <w:rsid w:val="2FE4622C"/>
    <w:rsid w:val="2FEA5603"/>
    <w:rsid w:val="2FEC5347"/>
    <w:rsid w:val="2FF0013F"/>
    <w:rsid w:val="3010081E"/>
    <w:rsid w:val="30224D9D"/>
    <w:rsid w:val="30366C6D"/>
    <w:rsid w:val="303E6DDB"/>
    <w:rsid w:val="30427582"/>
    <w:rsid w:val="30436451"/>
    <w:rsid w:val="304D0D09"/>
    <w:rsid w:val="306D1FDC"/>
    <w:rsid w:val="3071284C"/>
    <w:rsid w:val="30717AD3"/>
    <w:rsid w:val="30803872"/>
    <w:rsid w:val="3082583C"/>
    <w:rsid w:val="309317F7"/>
    <w:rsid w:val="309856E3"/>
    <w:rsid w:val="30A74FC6"/>
    <w:rsid w:val="30B47B17"/>
    <w:rsid w:val="30BD6DB1"/>
    <w:rsid w:val="30CE2265"/>
    <w:rsid w:val="30D24D2F"/>
    <w:rsid w:val="30DD12F4"/>
    <w:rsid w:val="30E33ED6"/>
    <w:rsid w:val="30E6401D"/>
    <w:rsid w:val="30E83FF1"/>
    <w:rsid w:val="30E9217E"/>
    <w:rsid w:val="30EB1633"/>
    <w:rsid w:val="30FC2D1C"/>
    <w:rsid w:val="30FC6801"/>
    <w:rsid w:val="31046AD3"/>
    <w:rsid w:val="31056E93"/>
    <w:rsid w:val="310B18AF"/>
    <w:rsid w:val="31181B19"/>
    <w:rsid w:val="311D122A"/>
    <w:rsid w:val="3148438F"/>
    <w:rsid w:val="314A7FEA"/>
    <w:rsid w:val="314B0324"/>
    <w:rsid w:val="315A2315"/>
    <w:rsid w:val="3160664E"/>
    <w:rsid w:val="318A49A8"/>
    <w:rsid w:val="318D4498"/>
    <w:rsid w:val="3190476D"/>
    <w:rsid w:val="31921AAF"/>
    <w:rsid w:val="319538BD"/>
    <w:rsid w:val="319B4252"/>
    <w:rsid w:val="319D0432"/>
    <w:rsid w:val="31A332CF"/>
    <w:rsid w:val="31B50B0C"/>
    <w:rsid w:val="31BE0AF5"/>
    <w:rsid w:val="31C3610C"/>
    <w:rsid w:val="31CD0D39"/>
    <w:rsid w:val="31CD40BC"/>
    <w:rsid w:val="31CD432D"/>
    <w:rsid w:val="31D96291"/>
    <w:rsid w:val="31DB16A7"/>
    <w:rsid w:val="31DD462E"/>
    <w:rsid w:val="31F343E9"/>
    <w:rsid w:val="32065EDE"/>
    <w:rsid w:val="32065F78"/>
    <w:rsid w:val="3207249C"/>
    <w:rsid w:val="3207424B"/>
    <w:rsid w:val="32140412"/>
    <w:rsid w:val="321F203B"/>
    <w:rsid w:val="323374AA"/>
    <w:rsid w:val="324C6101"/>
    <w:rsid w:val="32553925"/>
    <w:rsid w:val="32607150"/>
    <w:rsid w:val="32642960"/>
    <w:rsid w:val="327610F4"/>
    <w:rsid w:val="32785148"/>
    <w:rsid w:val="32791A77"/>
    <w:rsid w:val="32896107"/>
    <w:rsid w:val="32973FA5"/>
    <w:rsid w:val="329A3AE5"/>
    <w:rsid w:val="32A55811"/>
    <w:rsid w:val="32B243AC"/>
    <w:rsid w:val="32B618AA"/>
    <w:rsid w:val="32BC3A6E"/>
    <w:rsid w:val="32C97DB6"/>
    <w:rsid w:val="32D13EB7"/>
    <w:rsid w:val="32D37B85"/>
    <w:rsid w:val="32D95AEE"/>
    <w:rsid w:val="32E53E60"/>
    <w:rsid w:val="32F02F31"/>
    <w:rsid w:val="32F25E89"/>
    <w:rsid w:val="32F318E1"/>
    <w:rsid w:val="32FF2308"/>
    <w:rsid w:val="330844FA"/>
    <w:rsid w:val="330A0D74"/>
    <w:rsid w:val="330D1896"/>
    <w:rsid w:val="33103B5F"/>
    <w:rsid w:val="33154745"/>
    <w:rsid w:val="33186DDF"/>
    <w:rsid w:val="331D30A3"/>
    <w:rsid w:val="331D4EC5"/>
    <w:rsid w:val="332A0021"/>
    <w:rsid w:val="332F1A1C"/>
    <w:rsid w:val="333252F7"/>
    <w:rsid w:val="333F7A14"/>
    <w:rsid w:val="33447ECE"/>
    <w:rsid w:val="3346115F"/>
    <w:rsid w:val="33466FF4"/>
    <w:rsid w:val="33490893"/>
    <w:rsid w:val="33633703"/>
    <w:rsid w:val="33662286"/>
    <w:rsid w:val="336E0159"/>
    <w:rsid w:val="33707BCD"/>
    <w:rsid w:val="33747296"/>
    <w:rsid w:val="33807630"/>
    <w:rsid w:val="33867AAC"/>
    <w:rsid w:val="339B6078"/>
    <w:rsid w:val="339D2654"/>
    <w:rsid w:val="33A036D1"/>
    <w:rsid w:val="33A84A12"/>
    <w:rsid w:val="33AE14DD"/>
    <w:rsid w:val="33B91574"/>
    <w:rsid w:val="33B95A18"/>
    <w:rsid w:val="33BF403B"/>
    <w:rsid w:val="33E10ACB"/>
    <w:rsid w:val="33E12879"/>
    <w:rsid w:val="33E800AC"/>
    <w:rsid w:val="340A347C"/>
    <w:rsid w:val="341B5D8B"/>
    <w:rsid w:val="342C1F85"/>
    <w:rsid w:val="343378F7"/>
    <w:rsid w:val="344F1ED9"/>
    <w:rsid w:val="34741452"/>
    <w:rsid w:val="3474193F"/>
    <w:rsid w:val="347D5334"/>
    <w:rsid w:val="34AB35B3"/>
    <w:rsid w:val="34B74FB9"/>
    <w:rsid w:val="34C16318"/>
    <w:rsid w:val="34C47E1E"/>
    <w:rsid w:val="34D128EE"/>
    <w:rsid w:val="34DC42DA"/>
    <w:rsid w:val="34DF14AF"/>
    <w:rsid w:val="34DF4C62"/>
    <w:rsid w:val="34E66C44"/>
    <w:rsid w:val="34F21039"/>
    <w:rsid w:val="34FB3AF7"/>
    <w:rsid w:val="34FF407A"/>
    <w:rsid w:val="35052FCD"/>
    <w:rsid w:val="35074561"/>
    <w:rsid w:val="350D58E9"/>
    <w:rsid w:val="3517255C"/>
    <w:rsid w:val="351F7AFD"/>
    <w:rsid w:val="35223149"/>
    <w:rsid w:val="352A1906"/>
    <w:rsid w:val="35335357"/>
    <w:rsid w:val="35337105"/>
    <w:rsid w:val="353B4035"/>
    <w:rsid w:val="35577297"/>
    <w:rsid w:val="35605269"/>
    <w:rsid w:val="357065AB"/>
    <w:rsid w:val="3583008C"/>
    <w:rsid w:val="35884DFE"/>
    <w:rsid w:val="358F59D1"/>
    <w:rsid w:val="35A60A28"/>
    <w:rsid w:val="35A90EA2"/>
    <w:rsid w:val="35A9184D"/>
    <w:rsid w:val="35B37D8B"/>
    <w:rsid w:val="35B82275"/>
    <w:rsid w:val="35BA50CD"/>
    <w:rsid w:val="35C6441D"/>
    <w:rsid w:val="35CC34DE"/>
    <w:rsid w:val="35E44BE1"/>
    <w:rsid w:val="35E70E89"/>
    <w:rsid w:val="35ED5D33"/>
    <w:rsid w:val="35F745D6"/>
    <w:rsid w:val="35F9034E"/>
    <w:rsid w:val="35FC1307"/>
    <w:rsid w:val="360C132B"/>
    <w:rsid w:val="36150687"/>
    <w:rsid w:val="36155498"/>
    <w:rsid w:val="36207032"/>
    <w:rsid w:val="36224D60"/>
    <w:rsid w:val="36343134"/>
    <w:rsid w:val="363475D8"/>
    <w:rsid w:val="36387B72"/>
    <w:rsid w:val="363C023B"/>
    <w:rsid w:val="363D22C9"/>
    <w:rsid w:val="363E3CFE"/>
    <w:rsid w:val="36400C61"/>
    <w:rsid w:val="365A26C0"/>
    <w:rsid w:val="365B7678"/>
    <w:rsid w:val="365D08DD"/>
    <w:rsid w:val="366F5204"/>
    <w:rsid w:val="367867BA"/>
    <w:rsid w:val="367D0F7F"/>
    <w:rsid w:val="3680281D"/>
    <w:rsid w:val="36806379"/>
    <w:rsid w:val="36890313"/>
    <w:rsid w:val="368C11C2"/>
    <w:rsid w:val="369260AD"/>
    <w:rsid w:val="36934591"/>
    <w:rsid w:val="36981915"/>
    <w:rsid w:val="36A00F21"/>
    <w:rsid w:val="36B71B23"/>
    <w:rsid w:val="36BB5BB8"/>
    <w:rsid w:val="36BF0260"/>
    <w:rsid w:val="36C649A5"/>
    <w:rsid w:val="36DD3EED"/>
    <w:rsid w:val="36E36908"/>
    <w:rsid w:val="36F11025"/>
    <w:rsid w:val="372566AA"/>
    <w:rsid w:val="372E5DD5"/>
    <w:rsid w:val="374C0952"/>
    <w:rsid w:val="375021F0"/>
    <w:rsid w:val="37741019"/>
    <w:rsid w:val="377D1FF4"/>
    <w:rsid w:val="377F680D"/>
    <w:rsid w:val="37860176"/>
    <w:rsid w:val="37875BB4"/>
    <w:rsid w:val="37BE5EAC"/>
    <w:rsid w:val="37C15E60"/>
    <w:rsid w:val="37CD0F4E"/>
    <w:rsid w:val="37D20543"/>
    <w:rsid w:val="37D7504F"/>
    <w:rsid w:val="37EB016A"/>
    <w:rsid w:val="37F70962"/>
    <w:rsid w:val="37F97921"/>
    <w:rsid w:val="38060D28"/>
    <w:rsid w:val="38074AF9"/>
    <w:rsid w:val="38103E83"/>
    <w:rsid w:val="381256F7"/>
    <w:rsid w:val="381354F1"/>
    <w:rsid w:val="381D6354"/>
    <w:rsid w:val="382039D2"/>
    <w:rsid w:val="38206066"/>
    <w:rsid w:val="38216FE3"/>
    <w:rsid w:val="38233F66"/>
    <w:rsid w:val="38244865"/>
    <w:rsid w:val="382548B1"/>
    <w:rsid w:val="383B0A0D"/>
    <w:rsid w:val="3843080F"/>
    <w:rsid w:val="38521D88"/>
    <w:rsid w:val="38526AFA"/>
    <w:rsid w:val="38545D10"/>
    <w:rsid w:val="385B502A"/>
    <w:rsid w:val="387271A6"/>
    <w:rsid w:val="38767A34"/>
    <w:rsid w:val="387868B0"/>
    <w:rsid w:val="387C2FC4"/>
    <w:rsid w:val="3888313E"/>
    <w:rsid w:val="3891486E"/>
    <w:rsid w:val="38A31724"/>
    <w:rsid w:val="38B22A36"/>
    <w:rsid w:val="38B90399"/>
    <w:rsid w:val="38C908CF"/>
    <w:rsid w:val="38CA4224"/>
    <w:rsid w:val="38DE059D"/>
    <w:rsid w:val="38E94F3D"/>
    <w:rsid w:val="38FE5C7B"/>
    <w:rsid w:val="39033292"/>
    <w:rsid w:val="390E47B7"/>
    <w:rsid w:val="390F7E89"/>
    <w:rsid w:val="39161217"/>
    <w:rsid w:val="39204330"/>
    <w:rsid w:val="39253208"/>
    <w:rsid w:val="393A6709"/>
    <w:rsid w:val="393E04F3"/>
    <w:rsid w:val="3944674A"/>
    <w:rsid w:val="39475874"/>
    <w:rsid w:val="394E2D79"/>
    <w:rsid w:val="395104A1"/>
    <w:rsid w:val="395F32F9"/>
    <w:rsid w:val="396106E4"/>
    <w:rsid w:val="39691347"/>
    <w:rsid w:val="39693A40"/>
    <w:rsid w:val="396B1563"/>
    <w:rsid w:val="396B508F"/>
    <w:rsid w:val="39896A4A"/>
    <w:rsid w:val="398D3F03"/>
    <w:rsid w:val="39904B26"/>
    <w:rsid w:val="3998384E"/>
    <w:rsid w:val="399F334E"/>
    <w:rsid w:val="39A91C53"/>
    <w:rsid w:val="39B422CF"/>
    <w:rsid w:val="39CB3DB0"/>
    <w:rsid w:val="39D00DA0"/>
    <w:rsid w:val="39D4535A"/>
    <w:rsid w:val="39DA3FF3"/>
    <w:rsid w:val="39DE7F87"/>
    <w:rsid w:val="39F552D0"/>
    <w:rsid w:val="3A1439A9"/>
    <w:rsid w:val="3A1A6AE5"/>
    <w:rsid w:val="3A286ABD"/>
    <w:rsid w:val="3A445910"/>
    <w:rsid w:val="3A572C65"/>
    <w:rsid w:val="3A5B4454"/>
    <w:rsid w:val="3A5E69D2"/>
    <w:rsid w:val="3A63048C"/>
    <w:rsid w:val="3A776ECC"/>
    <w:rsid w:val="3A7E52C6"/>
    <w:rsid w:val="3A810912"/>
    <w:rsid w:val="3A872095"/>
    <w:rsid w:val="3A9B5E78"/>
    <w:rsid w:val="3AAE625A"/>
    <w:rsid w:val="3AEF03E6"/>
    <w:rsid w:val="3B015FE2"/>
    <w:rsid w:val="3B0373CC"/>
    <w:rsid w:val="3B0C0B24"/>
    <w:rsid w:val="3B1832D2"/>
    <w:rsid w:val="3B1E60AA"/>
    <w:rsid w:val="3B1F609A"/>
    <w:rsid w:val="3B215BBD"/>
    <w:rsid w:val="3B2929B3"/>
    <w:rsid w:val="3B3411B8"/>
    <w:rsid w:val="3B5C5B4E"/>
    <w:rsid w:val="3B666303"/>
    <w:rsid w:val="3B6D6AE6"/>
    <w:rsid w:val="3B703913"/>
    <w:rsid w:val="3B712FB1"/>
    <w:rsid w:val="3B714E2B"/>
    <w:rsid w:val="3B7B0E2A"/>
    <w:rsid w:val="3B871F58"/>
    <w:rsid w:val="3B9155F2"/>
    <w:rsid w:val="3B974891"/>
    <w:rsid w:val="3BA24FE4"/>
    <w:rsid w:val="3BBA7002"/>
    <w:rsid w:val="3BBF3318"/>
    <w:rsid w:val="3BC8543C"/>
    <w:rsid w:val="3BD04318"/>
    <w:rsid w:val="3BD427C4"/>
    <w:rsid w:val="3BD72EE0"/>
    <w:rsid w:val="3BDF1600"/>
    <w:rsid w:val="3BE23B68"/>
    <w:rsid w:val="3BE36DD9"/>
    <w:rsid w:val="3BE61494"/>
    <w:rsid w:val="3C0548EF"/>
    <w:rsid w:val="3C095063"/>
    <w:rsid w:val="3C0F0B15"/>
    <w:rsid w:val="3C342069"/>
    <w:rsid w:val="3C355AD0"/>
    <w:rsid w:val="3C3C0F95"/>
    <w:rsid w:val="3C4131D2"/>
    <w:rsid w:val="3C447E49"/>
    <w:rsid w:val="3C55638E"/>
    <w:rsid w:val="3C5B29BA"/>
    <w:rsid w:val="3C5D64BA"/>
    <w:rsid w:val="3C642299"/>
    <w:rsid w:val="3C7E301C"/>
    <w:rsid w:val="3C8A7F52"/>
    <w:rsid w:val="3C984238"/>
    <w:rsid w:val="3CA47B2D"/>
    <w:rsid w:val="3CC03974"/>
    <w:rsid w:val="3CCA79DB"/>
    <w:rsid w:val="3CD4130E"/>
    <w:rsid w:val="3CE53F6E"/>
    <w:rsid w:val="3CED2697"/>
    <w:rsid w:val="3CF950D8"/>
    <w:rsid w:val="3CFA5349"/>
    <w:rsid w:val="3D053A7C"/>
    <w:rsid w:val="3D08382F"/>
    <w:rsid w:val="3D0D2931"/>
    <w:rsid w:val="3D0E2985"/>
    <w:rsid w:val="3D17730C"/>
    <w:rsid w:val="3D413D5D"/>
    <w:rsid w:val="3D433DD5"/>
    <w:rsid w:val="3D477BF1"/>
    <w:rsid w:val="3D4A5933"/>
    <w:rsid w:val="3D792279"/>
    <w:rsid w:val="3D792657"/>
    <w:rsid w:val="3D7F563D"/>
    <w:rsid w:val="3D803F47"/>
    <w:rsid w:val="3D8175A7"/>
    <w:rsid w:val="3D826E39"/>
    <w:rsid w:val="3D850719"/>
    <w:rsid w:val="3D8A0273"/>
    <w:rsid w:val="3D8F3838"/>
    <w:rsid w:val="3D910776"/>
    <w:rsid w:val="3D933AD8"/>
    <w:rsid w:val="3D942C00"/>
    <w:rsid w:val="3D9479C2"/>
    <w:rsid w:val="3D960B78"/>
    <w:rsid w:val="3DA60EC9"/>
    <w:rsid w:val="3DCD1849"/>
    <w:rsid w:val="3DD357A0"/>
    <w:rsid w:val="3DDC3CE0"/>
    <w:rsid w:val="3DE5087F"/>
    <w:rsid w:val="3DEB187E"/>
    <w:rsid w:val="3DF1535C"/>
    <w:rsid w:val="3DFD4390"/>
    <w:rsid w:val="3DFE2CB2"/>
    <w:rsid w:val="3E1C1EBC"/>
    <w:rsid w:val="3E215B61"/>
    <w:rsid w:val="3E350391"/>
    <w:rsid w:val="3E390A27"/>
    <w:rsid w:val="3E3929E7"/>
    <w:rsid w:val="3E410395"/>
    <w:rsid w:val="3E43485C"/>
    <w:rsid w:val="3E487150"/>
    <w:rsid w:val="3E8D1F7B"/>
    <w:rsid w:val="3E8D3D29"/>
    <w:rsid w:val="3E9D7A57"/>
    <w:rsid w:val="3E9F7D59"/>
    <w:rsid w:val="3EA320F3"/>
    <w:rsid w:val="3EB6032D"/>
    <w:rsid w:val="3EC35FBB"/>
    <w:rsid w:val="3EC66B28"/>
    <w:rsid w:val="3ECE0186"/>
    <w:rsid w:val="3ECF7E9E"/>
    <w:rsid w:val="3ED032E2"/>
    <w:rsid w:val="3ED951C1"/>
    <w:rsid w:val="3EE940A2"/>
    <w:rsid w:val="3EF21DDE"/>
    <w:rsid w:val="3F00713E"/>
    <w:rsid w:val="3F01463B"/>
    <w:rsid w:val="3F19763D"/>
    <w:rsid w:val="3F1A385C"/>
    <w:rsid w:val="3F323039"/>
    <w:rsid w:val="3F323940"/>
    <w:rsid w:val="3F407471"/>
    <w:rsid w:val="3F4210EC"/>
    <w:rsid w:val="3F43088C"/>
    <w:rsid w:val="3F4A1648"/>
    <w:rsid w:val="3F5C54AA"/>
    <w:rsid w:val="3F8A7B2F"/>
    <w:rsid w:val="3F8A7FCF"/>
    <w:rsid w:val="3F8E7D59"/>
    <w:rsid w:val="3F9E5AC2"/>
    <w:rsid w:val="3FB31421"/>
    <w:rsid w:val="3FCF3ECE"/>
    <w:rsid w:val="3FCF5648"/>
    <w:rsid w:val="3FD55BB8"/>
    <w:rsid w:val="3FDA11F0"/>
    <w:rsid w:val="3FE756FC"/>
    <w:rsid w:val="40005ECF"/>
    <w:rsid w:val="40105938"/>
    <w:rsid w:val="40112738"/>
    <w:rsid w:val="40244A17"/>
    <w:rsid w:val="40297384"/>
    <w:rsid w:val="403708E0"/>
    <w:rsid w:val="403933E1"/>
    <w:rsid w:val="40476131"/>
    <w:rsid w:val="404E1296"/>
    <w:rsid w:val="40545CE1"/>
    <w:rsid w:val="405C12E3"/>
    <w:rsid w:val="405C1C05"/>
    <w:rsid w:val="405C7E57"/>
    <w:rsid w:val="40662A84"/>
    <w:rsid w:val="406B00E5"/>
    <w:rsid w:val="40737BF5"/>
    <w:rsid w:val="408E5B37"/>
    <w:rsid w:val="40936BE1"/>
    <w:rsid w:val="409E49B8"/>
    <w:rsid w:val="40A02A8F"/>
    <w:rsid w:val="40A47108"/>
    <w:rsid w:val="40A672AA"/>
    <w:rsid w:val="40A776B9"/>
    <w:rsid w:val="40B24AE1"/>
    <w:rsid w:val="40B96965"/>
    <w:rsid w:val="40BA62C0"/>
    <w:rsid w:val="40BC7753"/>
    <w:rsid w:val="40CA0B3E"/>
    <w:rsid w:val="40D043A1"/>
    <w:rsid w:val="40D62F88"/>
    <w:rsid w:val="40DE6ABE"/>
    <w:rsid w:val="40E13EB9"/>
    <w:rsid w:val="40EB07E5"/>
    <w:rsid w:val="41055DF9"/>
    <w:rsid w:val="411B6CE5"/>
    <w:rsid w:val="411E1A33"/>
    <w:rsid w:val="41214BFD"/>
    <w:rsid w:val="41232723"/>
    <w:rsid w:val="414032D5"/>
    <w:rsid w:val="41593AAF"/>
    <w:rsid w:val="41776D07"/>
    <w:rsid w:val="418A32ED"/>
    <w:rsid w:val="419A2AF3"/>
    <w:rsid w:val="419D0727"/>
    <w:rsid w:val="41A82C28"/>
    <w:rsid w:val="41AC48D5"/>
    <w:rsid w:val="41AE38A3"/>
    <w:rsid w:val="41D91034"/>
    <w:rsid w:val="41DA3967"/>
    <w:rsid w:val="41DA7286"/>
    <w:rsid w:val="41DE0D6C"/>
    <w:rsid w:val="41E24B5B"/>
    <w:rsid w:val="41E654BA"/>
    <w:rsid w:val="41E826BB"/>
    <w:rsid w:val="41EC28B0"/>
    <w:rsid w:val="42083437"/>
    <w:rsid w:val="420F4A55"/>
    <w:rsid w:val="42145DD9"/>
    <w:rsid w:val="42186000"/>
    <w:rsid w:val="421B26D5"/>
    <w:rsid w:val="42223A78"/>
    <w:rsid w:val="4226071D"/>
    <w:rsid w:val="423A3132"/>
    <w:rsid w:val="424264A7"/>
    <w:rsid w:val="42512A5B"/>
    <w:rsid w:val="425D1C65"/>
    <w:rsid w:val="42610D7D"/>
    <w:rsid w:val="42725710"/>
    <w:rsid w:val="427F3924"/>
    <w:rsid w:val="429257D5"/>
    <w:rsid w:val="42957651"/>
    <w:rsid w:val="42982C9D"/>
    <w:rsid w:val="42984D46"/>
    <w:rsid w:val="42A15FF5"/>
    <w:rsid w:val="42B6714C"/>
    <w:rsid w:val="42C10446"/>
    <w:rsid w:val="42C121F4"/>
    <w:rsid w:val="42C2250D"/>
    <w:rsid w:val="42C41D89"/>
    <w:rsid w:val="42C61BE5"/>
    <w:rsid w:val="42D3320B"/>
    <w:rsid w:val="42D739B2"/>
    <w:rsid w:val="42D75573"/>
    <w:rsid w:val="42DA32B5"/>
    <w:rsid w:val="42DC3C6E"/>
    <w:rsid w:val="42E63A08"/>
    <w:rsid w:val="42F04887"/>
    <w:rsid w:val="42F500EF"/>
    <w:rsid w:val="42F61B44"/>
    <w:rsid w:val="42FC4D81"/>
    <w:rsid w:val="43017DCA"/>
    <w:rsid w:val="43043603"/>
    <w:rsid w:val="430B23A2"/>
    <w:rsid w:val="430D3E15"/>
    <w:rsid w:val="430F5343"/>
    <w:rsid w:val="43126D06"/>
    <w:rsid w:val="431A1904"/>
    <w:rsid w:val="431C167A"/>
    <w:rsid w:val="431F4E2B"/>
    <w:rsid w:val="432F5B37"/>
    <w:rsid w:val="433D2782"/>
    <w:rsid w:val="43406478"/>
    <w:rsid w:val="434626F9"/>
    <w:rsid w:val="435B1D39"/>
    <w:rsid w:val="436A4639"/>
    <w:rsid w:val="43742730"/>
    <w:rsid w:val="43762FDE"/>
    <w:rsid w:val="43767736"/>
    <w:rsid w:val="437E6337"/>
    <w:rsid w:val="438C2802"/>
    <w:rsid w:val="43A0005B"/>
    <w:rsid w:val="43AA0EDA"/>
    <w:rsid w:val="43AD11C7"/>
    <w:rsid w:val="43B835F7"/>
    <w:rsid w:val="43F108B7"/>
    <w:rsid w:val="44092ABD"/>
    <w:rsid w:val="440F6F8F"/>
    <w:rsid w:val="44155BC5"/>
    <w:rsid w:val="441647C1"/>
    <w:rsid w:val="441B5933"/>
    <w:rsid w:val="442B0A71"/>
    <w:rsid w:val="443121CB"/>
    <w:rsid w:val="444D2A0A"/>
    <w:rsid w:val="44501A81"/>
    <w:rsid w:val="445F1CC4"/>
    <w:rsid w:val="44665A68"/>
    <w:rsid w:val="44733322"/>
    <w:rsid w:val="44861547"/>
    <w:rsid w:val="44B21999"/>
    <w:rsid w:val="44C12057"/>
    <w:rsid w:val="44C244D0"/>
    <w:rsid w:val="44C2553B"/>
    <w:rsid w:val="44CE6E4A"/>
    <w:rsid w:val="44DC0F05"/>
    <w:rsid w:val="44E447A9"/>
    <w:rsid w:val="44E81823"/>
    <w:rsid w:val="44E8254B"/>
    <w:rsid w:val="44F7014F"/>
    <w:rsid w:val="44F767D9"/>
    <w:rsid w:val="450665E4"/>
    <w:rsid w:val="450F5BA1"/>
    <w:rsid w:val="452B1B82"/>
    <w:rsid w:val="453018B3"/>
    <w:rsid w:val="45333CD2"/>
    <w:rsid w:val="45357F3A"/>
    <w:rsid w:val="45461CC2"/>
    <w:rsid w:val="45620570"/>
    <w:rsid w:val="4577303D"/>
    <w:rsid w:val="457E261E"/>
    <w:rsid w:val="45830D01"/>
    <w:rsid w:val="45880C2B"/>
    <w:rsid w:val="45921C25"/>
    <w:rsid w:val="459319F3"/>
    <w:rsid w:val="45973159"/>
    <w:rsid w:val="459B72F8"/>
    <w:rsid w:val="459C3ECB"/>
    <w:rsid w:val="459F27AC"/>
    <w:rsid w:val="45A34199"/>
    <w:rsid w:val="45A35BE1"/>
    <w:rsid w:val="45BC2984"/>
    <w:rsid w:val="45BD1764"/>
    <w:rsid w:val="45CC5137"/>
    <w:rsid w:val="45DE3ABC"/>
    <w:rsid w:val="45EF0E26"/>
    <w:rsid w:val="45F23625"/>
    <w:rsid w:val="45F2556F"/>
    <w:rsid w:val="45F5155F"/>
    <w:rsid w:val="45FE72BB"/>
    <w:rsid w:val="460240F2"/>
    <w:rsid w:val="4613720A"/>
    <w:rsid w:val="46162269"/>
    <w:rsid w:val="46276812"/>
    <w:rsid w:val="46340F2E"/>
    <w:rsid w:val="463D4287"/>
    <w:rsid w:val="464949DA"/>
    <w:rsid w:val="465B6470"/>
    <w:rsid w:val="46603AD2"/>
    <w:rsid w:val="468E0ABA"/>
    <w:rsid w:val="468E1899"/>
    <w:rsid w:val="469048D4"/>
    <w:rsid w:val="469104FD"/>
    <w:rsid w:val="46AF1EF8"/>
    <w:rsid w:val="46B4563C"/>
    <w:rsid w:val="46CD6844"/>
    <w:rsid w:val="46D10C86"/>
    <w:rsid w:val="46D169C2"/>
    <w:rsid w:val="46D22C08"/>
    <w:rsid w:val="46DC3AA0"/>
    <w:rsid w:val="4710745D"/>
    <w:rsid w:val="4714323A"/>
    <w:rsid w:val="47241C1C"/>
    <w:rsid w:val="472449DB"/>
    <w:rsid w:val="473309CA"/>
    <w:rsid w:val="47456736"/>
    <w:rsid w:val="47505619"/>
    <w:rsid w:val="475278BE"/>
    <w:rsid w:val="47543636"/>
    <w:rsid w:val="475C018C"/>
    <w:rsid w:val="477A232E"/>
    <w:rsid w:val="47B70069"/>
    <w:rsid w:val="47D209FF"/>
    <w:rsid w:val="47DD78F8"/>
    <w:rsid w:val="47E6614A"/>
    <w:rsid w:val="47E87983"/>
    <w:rsid w:val="47FD33B2"/>
    <w:rsid w:val="48027536"/>
    <w:rsid w:val="480A1F47"/>
    <w:rsid w:val="481B2F84"/>
    <w:rsid w:val="481B4BAB"/>
    <w:rsid w:val="481B5E95"/>
    <w:rsid w:val="481C1C7A"/>
    <w:rsid w:val="48223D6A"/>
    <w:rsid w:val="482D3E9A"/>
    <w:rsid w:val="482E5CBB"/>
    <w:rsid w:val="483002E2"/>
    <w:rsid w:val="483244C2"/>
    <w:rsid w:val="484F2050"/>
    <w:rsid w:val="485D6A5C"/>
    <w:rsid w:val="48651873"/>
    <w:rsid w:val="486A50DB"/>
    <w:rsid w:val="48736436"/>
    <w:rsid w:val="489A7859"/>
    <w:rsid w:val="48A013C8"/>
    <w:rsid w:val="48AC6673"/>
    <w:rsid w:val="48B254E6"/>
    <w:rsid w:val="48BD16AF"/>
    <w:rsid w:val="48C3442B"/>
    <w:rsid w:val="48E07144"/>
    <w:rsid w:val="48E24C72"/>
    <w:rsid w:val="48FD44EF"/>
    <w:rsid w:val="49071C82"/>
    <w:rsid w:val="49091BBF"/>
    <w:rsid w:val="490B41C9"/>
    <w:rsid w:val="49153299"/>
    <w:rsid w:val="493509DF"/>
    <w:rsid w:val="49362918"/>
    <w:rsid w:val="494470C7"/>
    <w:rsid w:val="495A0A48"/>
    <w:rsid w:val="495C7784"/>
    <w:rsid w:val="495E76CE"/>
    <w:rsid w:val="49663DAF"/>
    <w:rsid w:val="496A5D7E"/>
    <w:rsid w:val="497F0830"/>
    <w:rsid w:val="49847228"/>
    <w:rsid w:val="49853279"/>
    <w:rsid w:val="49867CF3"/>
    <w:rsid w:val="49897B75"/>
    <w:rsid w:val="49A62AA1"/>
    <w:rsid w:val="49B46D87"/>
    <w:rsid w:val="49B67C80"/>
    <w:rsid w:val="49BA6E39"/>
    <w:rsid w:val="49C01457"/>
    <w:rsid w:val="49C32CD2"/>
    <w:rsid w:val="49C96342"/>
    <w:rsid w:val="49CE7FF9"/>
    <w:rsid w:val="49DA27B5"/>
    <w:rsid w:val="49DD2DA4"/>
    <w:rsid w:val="49E8275C"/>
    <w:rsid w:val="49EF3AEA"/>
    <w:rsid w:val="49FF03AA"/>
    <w:rsid w:val="4A2B43F6"/>
    <w:rsid w:val="4A34774F"/>
    <w:rsid w:val="4A5D6CA6"/>
    <w:rsid w:val="4A623256"/>
    <w:rsid w:val="4A745190"/>
    <w:rsid w:val="4A7925AA"/>
    <w:rsid w:val="4A7A5B65"/>
    <w:rsid w:val="4A7B712C"/>
    <w:rsid w:val="4A7C560F"/>
    <w:rsid w:val="4A835FE1"/>
    <w:rsid w:val="4A8F0AFF"/>
    <w:rsid w:val="4A963F66"/>
    <w:rsid w:val="4A974D0F"/>
    <w:rsid w:val="4AA2536D"/>
    <w:rsid w:val="4AAC3789"/>
    <w:rsid w:val="4AAC7812"/>
    <w:rsid w:val="4ABA40F8"/>
    <w:rsid w:val="4AC5484B"/>
    <w:rsid w:val="4AE226D3"/>
    <w:rsid w:val="4B0977A4"/>
    <w:rsid w:val="4B201A81"/>
    <w:rsid w:val="4B2E24D4"/>
    <w:rsid w:val="4B310029"/>
    <w:rsid w:val="4B3D73BE"/>
    <w:rsid w:val="4B490FD8"/>
    <w:rsid w:val="4B5D4D26"/>
    <w:rsid w:val="4B5E0F27"/>
    <w:rsid w:val="4B617C59"/>
    <w:rsid w:val="4B6D6DE3"/>
    <w:rsid w:val="4B906C3C"/>
    <w:rsid w:val="4B991AA1"/>
    <w:rsid w:val="4B9B55AB"/>
    <w:rsid w:val="4BA6467C"/>
    <w:rsid w:val="4BA803F5"/>
    <w:rsid w:val="4BAB3A41"/>
    <w:rsid w:val="4BB072A9"/>
    <w:rsid w:val="4BB2661D"/>
    <w:rsid w:val="4BB943B0"/>
    <w:rsid w:val="4BBE05FA"/>
    <w:rsid w:val="4BD755BD"/>
    <w:rsid w:val="4BF8091C"/>
    <w:rsid w:val="4C00269A"/>
    <w:rsid w:val="4C057A4F"/>
    <w:rsid w:val="4C081F57"/>
    <w:rsid w:val="4C1450BB"/>
    <w:rsid w:val="4C147916"/>
    <w:rsid w:val="4C231829"/>
    <w:rsid w:val="4C28128E"/>
    <w:rsid w:val="4C292A4A"/>
    <w:rsid w:val="4C343A36"/>
    <w:rsid w:val="4C3677AE"/>
    <w:rsid w:val="4C373527"/>
    <w:rsid w:val="4C3B0622"/>
    <w:rsid w:val="4C3F6B93"/>
    <w:rsid w:val="4C4F5DC7"/>
    <w:rsid w:val="4C51283A"/>
    <w:rsid w:val="4C59524B"/>
    <w:rsid w:val="4C5B5467"/>
    <w:rsid w:val="4C740B8D"/>
    <w:rsid w:val="4C7A1948"/>
    <w:rsid w:val="4C88556D"/>
    <w:rsid w:val="4C8A7AFA"/>
    <w:rsid w:val="4C8D63ED"/>
    <w:rsid w:val="4C9A0120"/>
    <w:rsid w:val="4C9A41A0"/>
    <w:rsid w:val="4C9D7A63"/>
    <w:rsid w:val="4CA62204"/>
    <w:rsid w:val="4CAD5597"/>
    <w:rsid w:val="4CC209E3"/>
    <w:rsid w:val="4CD174D7"/>
    <w:rsid w:val="4CD40D75"/>
    <w:rsid w:val="4CDA44B5"/>
    <w:rsid w:val="4CF04745"/>
    <w:rsid w:val="4CF37F37"/>
    <w:rsid w:val="4D0725AE"/>
    <w:rsid w:val="4D090068"/>
    <w:rsid w:val="4D1A2C2C"/>
    <w:rsid w:val="4D22461E"/>
    <w:rsid w:val="4D2C371A"/>
    <w:rsid w:val="4D3C7046"/>
    <w:rsid w:val="4D3E07BD"/>
    <w:rsid w:val="4D487A81"/>
    <w:rsid w:val="4D6326AF"/>
    <w:rsid w:val="4D64241B"/>
    <w:rsid w:val="4D661307"/>
    <w:rsid w:val="4D6640C3"/>
    <w:rsid w:val="4D6E11CA"/>
    <w:rsid w:val="4D731404"/>
    <w:rsid w:val="4D83114A"/>
    <w:rsid w:val="4D8B2D9D"/>
    <w:rsid w:val="4D9329DF"/>
    <w:rsid w:val="4D9D385D"/>
    <w:rsid w:val="4DA67457"/>
    <w:rsid w:val="4DAB5F7A"/>
    <w:rsid w:val="4DAC584E"/>
    <w:rsid w:val="4DB52955"/>
    <w:rsid w:val="4DCB5964"/>
    <w:rsid w:val="4DCC2F6D"/>
    <w:rsid w:val="4DD1746B"/>
    <w:rsid w:val="4DD23507"/>
    <w:rsid w:val="4DD92AE7"/>
    <w:rsid w:val="4DDC4386"/>
    <w:rsid w:val="4DDE7F96"/>
    <w:rsid w:val="4DDF79D2"/>
    <w:rsid w:val="4DE4339D"/>
    <w:rsid w:val="4DE72E3F"/>
    <w:rsid w:val="4DED5753"/>
    <w:rsid w:val="4DFA037A"/>
    <w:rsid w:val="4E0336C0"/>
    <w:rsid w:val="4E0B4C6B"/>
    <w:rsid w:val="4E251B0B"/>
    <w:rsid w:val="4E361621"/>
    <w:rsid w:val="4E420DA1"/>
    <w:rsid w:val="4E497F1B"/>
    <w:rsid w:val="4E4F1B88"/>
    <w:rsid w:val="4E4F2DA9"/>
    <w:rsid w:val="4E4F68D0"/>
    <w:rsid w:val="4E7072EC"/>
    <w:rsid w:val="4E7737D8"/>
    <w:rsid w:val="4E850579"/>
    <w:rsid w:val="4E893244"/>
    <w:rsid w:val="4EAD13BA"/>
    <w:rsid w:val="4EB250E6"/>
    <w:rsid w:val="4EB33338"/>
    <w:rsid w:val="4EB86BA1"/>
    <w:rsid w:val="4EB90223"/>
    <w:rsid w:val="4EB93915"/>
    <w:rsid w:val="4EBC430A"/>
    <w:rsid w:val="4EC015B1"/>
    <w:rsid w:val="4EC45545"/>
    <w:rsid w:val="4EC70391"/>
    <w:rsid w:val="4EE01C53"/>
    <w:rsid w:val="4EF64025"/>
    <w:rsid w:val="4F057422"/>
    <w:rsid w:val="4F1638C7"/>
    <w:rsid w:val="4F1A33B7"/>
    <w:rsid w:val="4F2E29BF"/>
    <w:rsid w:val="4F47559E"/>
    <w:rsid w:val="4F5166AD"/>
    <w:rsid w:val="4F5959A6"/>
    <w:rsid w:val="4F644237"/>
    <w:rsid w:val="4F754A92"/>
    <w:rsid w:val="4F7B41D2"/>
    <w:rsid w:val="4F7F52D0"/>
    <w:rsid w:val="4F8A00E2"/>
    <w:rsid w:val="4F961967"/>
    <w:rsid w:val="4FAC7D88"/>
    <w:rsid w:val="4FAD41A3"/>
    <w:rsid w:val="4FC43323"/>
    <w:rsid w:val="4FC81DBA"/>
    <w:rsid w:val="4FD01CC8"/>
    <w:rsid w:val="4FD23C92"/>
    <w:rsid w:val="4FD766B6"/>
    <w:rsid w:val="4FDA247C"/>
    <w:rsid w:val="4FE62232"/>
    <w:rsid w:val="4FF37764"/>
    <w:rsid w:val="4FFC0D0F"/>
    <w:rsid w:val="50020304"/>
    <w:rsid w:val="501A2F43"/>
    <w:rsid w:val="5025167C"/>
    <w:rsid w:val="50324731"/>
    <w:rsid w:val="50447FC0"/>
    <w:rsid w:val="504A7D28"/>
    <w:rsid w:val="505B1003"/>
    <w:rsid w:val="505E5526"/>
    <w:rsid w:val="50724B2D"/>
    <w:rsid w:val="50750766"/>
    <w:rsid w:val="5080045B"/>
    <w:rsid w:val="5086682B"/>
    <w:rsid w:val="508A5EB8"/>
    <w:rsid w:val="508A631B"/>
    <w:rsid w:val="508E3344"/>
    <w:rsid w:val="50A663D5"/>
    <w:rsid w:val="50B317ED"/>
    <w:rsid w:val="50BB6409"/>
    <w:rsid w:val="50C55BFE"/>
    <w:rsid w:val="50D22AA3"/>
    <w:rsid w:val="50D97DE3"/>
    <w:rsid w:val="50E7376D"/>
    <w:rsid w:val="50E964F8"/>
    <w:rsid w:val="50EF43D0"/>
    <w:rsid w:val="50FB4A89"/>
    <w:rsid w:val="50FF342D"/>
    <w:rsid w:val="51051E45"/>
    <w:rsid w:val="51137B9E"/>
    <w:rsid w:val="511849BF"/>
    <w:rsid w:val="511E0724"/>
    <w:rsid w:val="512944F0"/>
    <w:rsid w:val="513F17C8"/>
    <w:rsid w:val="514347F3"/>
    <w:rsid w:val="51441FBC"/>
    <w:rsid w:val="51482420"/>
    <w:rsid w:val="514A1633"/>
    <w:rsid w:val="515C6A3A"/>
    <w:rsid w:val="516973DC"/>
    <w:rsid w:val="516C3C72"/>
    <w:rsid w:val="51816FD0"/>
    <w:rsid w:val="51820AA5"/>
    <w:rsid w:val="51830E7F"/>
    <w:rsid w:val="5188731A"/>
    <w:rsid w:val="518B234A"/>
    <w:rsid w:val="518C07B2"/>
    <w:rsid w:val="519E2507"/>
    <w:rsid w:val="519F1952"/>
    <w:rsid w:val="51C21086"/>
    <w:rsid w:val="51CB5C5C"/>
    <w:rsid w:val="51CD5082"/>
    <w:rsid w:val="51CE63FC"/>
    <w:rsid w:val="51E27599"/>
    <w:rsid w:val="51F83758"/>
    <w:rsid w:val="520143BB"/>
    <w:rsid w:val="520177E2"/>
    <w:rsid w:val="52045C59"/>
    <w:rsid w:val="520D0FB1"/>
    <w:rsid w:val="52173BDE"/>
    <w:rsid w:val="52324A13"/>
    <w:rsid w:val="52476494"/>
    <w:rsid w:val="52484953"/>
    <w:rsid w:val="526A01B2"/>
    <w:rsid w:val="52742DDF"/>
    <w:rsid w:val="527E3F9F"/>
    <w:rsid w:val="52975C05"/>
    <w:rsid w:val="5297673D"/>
    <w:rsid w:val="52A558E3"/>
    <w:rsid w:val="52B34ED1"/>
    <w:rsid w:val="52B458D1"/>
    <w:rsid w:val="52C673B2"/>
    <w:rsid w:val="52C75604"/>
    <w:rsid w:val="52DB59F2"/>
    <w:rsid w:val="52DC2732"/>
    <w:rsid w:val="52E108B3"/>
    <w:rsid w:val="52E16484"/>
    <w:rsid w:val="52E53BFE"/>
    <w:rsid w:val="52E875D2"/>
    <w:rsid w:val="52E94FF6"/>
    <w:rsid w:val="52F43F1F"/>
    <w:rsid w:val="52F777D3"/>
    <w:rsid w:val="52FC607E"/>
    <w:rsid w:val="52FD636E"/>
    <w:rsid w:val="53007499"/>
    <w:rsid w:val="53071EA5"/>
    <w:rsid w:val="531001F3"/>
    <w:rsid w:val="531F6459"/>
    <w:rsid w:val="53313D67"/>
    <w:rsid w:val="533662E6"/>
    <w:rsid w:val="535315DA"/>
    <w:rsid w:val="5354676C"/>
    <w:rsid w:val="5356109E"/>
    <w:rsid w:val="535A196E"/>
    <w:rsid w:val="535D0BBE"/>
    <w:rsid w:val="53620E89"/>
    <w:rsid w:val="53717E7C"/>
    <w:rsid w:val="537F69C6"/>
    <w:rsid w:val="53892443"/>
    <w:rsid w:val="538A03E0"/>
    <w:rsid w:val="539B25ED"/>
    <w:rsid w:val="539E4AC9"/>
    <w:rsid w:val="53AE73D9"/>
    <w:rsid w:val="53AF7399"/>
    <w:rsid w:val="53B84F4D"/>
    <w:rsid w:val="53BA1994"/>
    <w:rsid w:val="53F51CFD"/>
    <w:rsid w:val="53F92EF4"/>
    <w:rsid w:val="5407360C"/>
    <w:rsid w:val="540B7773"/>
    <w:rsid w:val="540F7CC5"/>
    <w:rsid w:val="5416602D"/>
    <w:rsid w:val="541F321E"/>
    <w:rsid w:val="54300EC0"/>
    <w:rsid w:val="5431081B"/>
    <w:rsid w:val="543C0F96"/>
    <w:rsid w:val="54522561"/>
    <w:rsid w:val="545450B7"/>
    <w:rsid w:val="545742B4"/>
    <w:rsid w:val="54654125"/>
    <w:rsid w:val="546D3C36"/>
    <w:rsid w:val="546E64FB"/>
    <w:rsid w:val="54875041"/>
    <w:rsid w:val="548E1043"/>
    <w:rsid w:val="54AE4895"/>
    <w:rsid w:val="54B66536"/>
    <w:rsid w:val="54B83C28"/>
    <w:rsid w:val="54C82D61"/>
    <w:rsid w:val="54C85664"/>
    <w:rsid w:val="54D45DB6"/>
    <w:rsid w:val="54D51B2F"/>
    <w:rsid w:val="54DC2EBD"/>
    <w:rsid w:val="54EC26AA"/>
    <w:rsid w:val="54F55D2D"/>
    <w:rsid w:val="55032881"/>
    <w:rsid w:val="5516017D"/>
    <w:rsid w:val="5516567D"/>
    <w:rsid w:val="55344AA7"/>
    <w:rsid w:val="55395D9A"/>
    <w:rsid w:val="554A0A8D"/>
    <w:rsid w:val="554F7B33"/>
    <w:rsid w:val="55605ECC"/>
    <w:rsid w:val="55652652"/>
    <w:rsid w:val="55655D86"/>
    <w:rsid w:val="556A2E15"/>
    <w:rsid w:val="558A2919"/>
    <w:rsid w:val="558E6732"/>
    <w:rsid w:val="55A27C63"/>
    <w:rsid w:val="55A62C57"/>
    <w:rsid w:val="55AF2CD7"/>
    <w:rsid w:val="55B24841"/>
    <w:rsid w:val="55C161C1"/>
    <w:rsid w:val="55CE694A"/>
    <w:rsid w:val="55D65B5E"/>
    <w:rsid w:val="55DD513F"/>
    <w:rsid w:val="55E24503"/>
    <w:rsid w:val="55E726AA"/>
    <w:rsid w:val="55E93AE3"/>
    <w:rsid w:val="55FE7906"/>
    <w:rsid w:val="56066443"/>
    <w:rsid w:val="56111C07"/>
    <w:rsid w:val="56131CEB"/>
    <w:rsid w:val="56261760"/>
    <w:rsid w:val="56284E21"/>
    <w:rsid w:val="562A3A13"/>
    <w:rsid w:val="56417861"/>
    <w:rsid w:val="56470C39"/>
    <w:rsid w:val="564932D2"/>
    <w:rsid w:val="564B02FA"/>
    <w:rsid w:val="56503B63"/>
    <w:rsid w:val="56523597"/>
    <w:rsid w:val="56587CBB"/>
    <w:rsid w:val="56662DB5"/>
    <w:rsid w:val="566D1011"/>
    <w:rsid w:val="566F0F44"/>
    <w:rsid w:val="56772B9D"/>
    <w:rsid w:val="5684380C"/>
    <w:rsid w:val="569C0B56"/>
    <w:rsid w:val="56A95021"/>
    <w:rsid w:val="56AD2D63"/>
    <w:rsid w:val="56BC6B02"/>
    <w:rsid w:val="56BE149F"/>
    <w:rsid w:val="56CA56C3"/>
    <w:rsid w:val="56DD7AFE"/>
    <w:rsid w:val="56E90D97"/>
    <w:rsid w:val="56F52218"/>
    <w:rsid w:val="56F752AB"/>
    <w:rsid w:val="56FE536D"/>
    <w:rsid w:val="57066CC8"/>
    <w:rsid w:val="57081D47"/>
    <w:rsid w:val="5717647F"/>
    <w:rsid w:val="571D300C"/>
    <w:rsid w:val="57234DD3"/>
    <w:rsid w:val="57325016"/>
    <w:rsid w:val="5737262D"/>
    <w:rsid w:val="57372CA1"/>
    <w:rsid w:val="573E7E5F"/>
    <w:rsid w:val="575C5465"/>
    <w:rsid w:val="57672BC3"/>
    <w:rsid w:val="57723A3A"/>
    <w:rsid w:val="57743881"/>
    <w:rsid w:val="57801BCC"/>
    <w:rsid w:val="57825F9E"/>
    <w:rsid w:val="57897729"/>
    <w:rsid w:val="57914433"/>
    <w:rsid w:val="57921F2A"/>
    <w:rsid w:val="579932E7"/>
    <w:rsid w:val="579A0D70"/>
    <w:rsid w:val="57A02A89"/>
    <w:rsid w:val="57A10B57"/>
    <w:rsid w:val="57A350B7"/>
    <w:rsid w:val="57A35F14"/>
    <w:rsid w:val="57AE4348"/>
    <w:rsid w:val="57B572D1"/>
    <w:rsid w:val="57E52089"/>
    <w:rsid w:val="57ED7ED0"/>
    <w:rsid w:val="57F17C93"/>
    <w:rsid w:val="58064DD1"/>
    <w:rsid w:val="580746F5"/>
    <w:rsid w:val="58090AD9"/>
    <w:rsid w:val="5818245E"/>
    <w:rsid w:val="582157B7"/>
    <w:rsid w:val="58224B16"/>
    <w:rsid w:val="582F1556"/>
    <w:rsid w:val="58311772"/>
    <w:rsid w:val="58345AF0"/>
    <w:rsid w:val="58366D88"/>
    <w:rsid w:val="58395CD8"/>
    <w:rsid w:val="583C3F31"/>
    <w:rsid w:val="5842451C"/>
    <w:rsid w:val="585B3B38"/>
    <w:rsid w:val="586E6522"/>
    <w:rsid w:val="5878114F"/>
    <w:rsid w:val="587C0C3F"/>
    <w:rsid w:val="588875E4"/>
    <w:rsid w:val="588D6BD2"/>
    <w:rsid w:val="58A67A6A"/>
    <w:rsid w:val="58AD2046"/>
    <w:rsid w:val="58B04B88"/>
    <w:rsid w:val="58B2640F"/>
    <w:rsid w:val="58BE0BCB"/>
    <w:rsid w:val="58C0364C"/>
    <w:rsid w:val="58C148A4"/>
    <w:rsid w:val="58C70577"/>
    <w:rsid w:val="58D053E0"/>
    <w:rsid w:val="58DA7713"/>
    <w:rsid w:val="58DF08A0"/>
    <w:rsid w:val="58DF2266"/>
    <w:rsid w:val="58E67606"/>
    <w:rsid w:val="58ED5699"/>
    <w:rsid w:val="58ED705E"/>
    <w:rsid w:val="58F5454D"/>
    <w:rsid w:val="590D18D5"/>
    <w:rsid w:val="59135126"/>
    <w:rsid w:val="59153B14"/>
    <w:rsid w:val="5915699E"/>
    <w:rsid w:val="59195D05"/>
    <w:rsid w:val="591E3AA4"/>
    <w:rsid w:val="59276E86"/>
    <w:rsid w:val="592F6378"/>
    <w:rsid w:val="5943350B"/>
    <w:rsid w:val="59517448"/>
    <w:rsid w:val="59571404"/>
    <w:rsid w:val="596146A3"/>
    <w:rsid w:val="59682F71"/>
    <w:rsid w:val="596B6FBD"/>
    <w:rsid w:val="59716FA9"/>
    <w:rsid w:val="5971762C"/>
    <w:rsid w:val="59757998"/>
    <w:rsid w:val="597933D0"/>
    <w:rsid w:val="59822285"/>
    <w:rsid w:val="59861649"/>
    <w:rsid w:val="598B163C"/>
    <w:rsid w:val="5999137D"/>
    <w:rsid w:val="599952AF"/>
    <w:rsid w:val="59A82747"/>
    <w:rsid w:val="59A9160F"/>
    <w:rsid w:val="59B219EA"/>
    <w:rsid w:val="59B343A0"/>
    <w:rsid w:val="59B60548"/>
    <w:rsid w:val="59C14DA4"/>
    <w:rsid w:val="59C879D0"/>
    <w:rsid w:val="59CC3500"/>
    <w:rsid w:val="59CC781C"/>
    <w:rsid w:val="59D072D5"/>
    <w:rsid w:val="59E1170D"/>
    <w:rsid w:val="59EA0E76"/>
    <w:rsid w:val="59F31707"/>
    <w:rsid w:val="59FD5DAF"/>
    <w:rsid w:val="5A175310"/>
    <w:rsid w:val="5A1A6420"/>
    <w:rsid w:val="5A1C6E0C"/>
    <w:rsid w:val="5A2C4FCC"/>
    <w:rsid w:val="5A3442E8"/>
    <w:rsid w:val="5A3A1AE4"/>
    <w:rsid w:val="5A3A63D7"/>
    <w:rsid w:val="5A4A10DF"/>
    <w:rsid w:val="5A4F0E8E"/>
    <w:rsid w:val="5A64198B"/>
    <w:rsid w:val="5A6D3261"/>
    <w:rsid w:val="5A7D47FA"/>
    <w:rsid w:val="5A807708"/>
    <w:rsid w:val="5A8B5169"/>
    <w:rsid w:val="5A8D7133"/>
    <w:rsid w:val="5AA4622B"/>
    <w:rsid w:val="5AB11B79"/>
    <w:rsid w:val="5AB81CD6"/>
    <w:rsid w:val="5ABA5A4E"/>
    <w:rsid w:val="5AC216D8"/>
    <w:rsid w:val="5AC51BE8"/>
    <w:rsid w:val="5AC54BBA"/>
    <w:rsid w:val="5AC64659"/>
    <w:rsid w:val="5AD11D83"/>
    <w:rsid w:val="5ADA1C4D"/>
    <w:rsid w:val="5AE42ACB"/>
    <w:rsid w:val="5AE66844"/>
    <w:rsid w:val="5B060C94"/>
    <w:rsid w:val="5B245D83"/>
    <w:rsid w:val="5B39375A"/>
    <w:rsid w:val="5B3C1034"/>
    <w:rsid w:val="5B4672E2"/>
    <w:rsid w:val="5B4F29CF"/>
    <w:rsid w:val="5B5473DC"/>
    <w:rsid w:val="5B5B7588"/>
    <w:rsid w:val="5B5E74BF"/>
    <w:rsid w:val="5B6065F6"/>
    <w:rsid w:val="5B6C0858"/>
    <w:rsid w:val="5B6F05E7"/>
    <w:rsid w:val="5B736611"/>
    <w:rsid w:val="5B745BFD"/>
    <w:rsid w:val="5B80506A"/>
    <w:rsid w:val="5B962018"/>
    <w:rsid w:val="5B9D7D25"/>
    <w:rsid w:val="5BCA7F13"/>
    <w:rsid w:val="5BD86325"/>
    <w:rsid w:val="5BEE0626"/>
    <w:rsid w:val="5BFF23C0"/>
    <w:rsid w:val="5C2C472A"/>
    <w:rsid w:val="5C2F21DC"/>
    <w:rsid w:val="5C302D7B"/>
    <w:rsid w:val="5C3B370B"/>
    <w:rsid w:val="5C5E6A87"/>
    <w:rsid w:val="5C8778D6"/>
    <w:rsid w:val="5C9D3290"/>
    <w:rsid w:val="5C9E3E76"/>
    <w:rsid w:val="5CA94BB2"/>
    <w:rsid w:val="5CB07109"/>
    <w:rsid w:val="5CBA1F3C"/>
    <w:rsid w:val="5CBA7F88"/>
    <w:rsid w:val="5CC918E9"/>
    <w:rsid w:val="5CC94A00"/>
    <w:rsid w:val="5CD57CAB"/>
    <w:rsid w:val="5CE5683C"/>
    <w:rsid w:val="5CF7080A"/>
    <w:rsid w:val="5CFB7527"/>
    <w:rsid w:val="5D007686"/>
    <w:rsid w:val="5D0D63C7"/>
    <w:rsid w:val="5D11008D"/>
    <w:rsid w:val="5D122B3C"/>
    <w:rsid w:val="5D170F36"/>
    <w:rsid w:val="5D227715"/>
    <w:rsid w:val="5D2378DB"/>
    <w:rsid w:val="5D28108C"/>
    <w:rsid w:val="5D475F1D"/>
    <w:rsid w:val="5D5C103F"/>
    <w:rsid w:val="5D5D218B"/>
    <w:rsid w:val="5D5E0764"/>
    <w:rsid w:val="5D7023FD"/>
    <w:rsid w:val="5D790898"/>
    <w:rsid w:val="5D815CD6"/>
    <w:rsid w:val="5D842B79"/>
    <w:rsid w:val="5D8A795A"/>
    <w:rsid w:val="5DA16434"/>
    <w:rsid w:val="5DA252F6"/>
    <w:rsid w:val="5DA26EDB"/>
    <w:rsid w:val="5DAF4745"/>
    <w:rsid w:val="5DB06C95"/>
    <w:rsid w:val="5DB524FD"/>
    <w:rsid w:val="5DD136AD"/>
    <w:rsid w:val="5DD87C99"/>
    <w:rsid w:val="5DDB2AE2"/>
    <w:rsid w:val="5DDC3F2E"/>
    <w:rsid w:val="5DE132F2"/>
    <w:rsid w:val="5DE652CA"/>
    <w:rsid w:val="5DFD71D0"/>
    <w:rsid w:val="5E04401C"/>
    <w:rsid w:val="5E053485"/>
    <w:rsid w:val="5E1230C6"/>
    <w:rsid w:val="5E137A55"/>
    <w:rsid w:val="5E195C20"/>
    <w:rsid w:val="5E197EBE"/>
    <w:rsid w:val="5E1C5015"/>
    <w:rsid w:val="5E1D3F9F"/>
    <w:rsid w:val="5E21055C"/>
    <w:rsid w:val="5E283D71"/>
    <w:rsid w:val="5E2A0B4D"/>
    <w:rsid w:val="5E340776"/>
    <w:rsid w:val="5E452C48"/>
    <w:rsid w:val="5E4A7B96"/>
    <w:rsid w:val="5E504BDC"/>
    <w:rsid w:val="5E59732C"/>
    <w:rsid w:val="5E5B12F6"/>
    <w:rsid w:val="5E622685"/>
    <w:rsid w:val="5E635C5B"/>
    <w:rsid w:val="5E734836"/>
    <w:rsid w:val="5E7A79CF"/>
    <w:rsid w:val="5E9A1E1F"/>
    <w:rsid w:val="5EA61A6E"/>
    <w:rsid w:val="5EA6600B"/>
    <w:rsid w:val="5EA762EA"/>
    <w:rsid w:val="5EAA74B3"/>
    <w:rsid w:val="5EAE7678"/>
    <w:rsid w:val="5EB36A3D"/>
    <w:rsid w:val="5EBA08D1"/>
    <w:rsid w:val="5EEE216B"/>
    <w:rsid w:val="5EF460B1"/>
    <w:rsid w:val="5EF644FC"/>
    <w:rsid w:val="5F0E76A2"/>
    <w:rsid w:val="5F110DD2"/>
    <w:rsid w:val="5F1C6CD8"/>
    <w:rsid w:val="5F1E295A"/>
    <w:rsid w:val="5F476F98"/>
    <w:rsid w:val="5F547459"/>
    <w:rsid w:val="5F57386C"/>
    <w:rsid w:val="5F5C428A"/>
    <w:rsid w:val="5F5D0123"/>
    <w:rsid w:val="5F6146EB"/>
    <w:rsid w:val="5F6441DB"/>
    <w:rsid w:val="5F703980"/>
    <w:rsid w:val="5F8108E9"/>
    <w:rsid w:val="5F8561A9"/>
    <w:rsid w:val="5F8623A3"/>
    <w:rsid w:val="5F881C77"/>
    <w:rsid w:val="5F9330C1"/>
    <w:rsid w:val="5F9920D6"/>
    <w:rsid w:val="5FB23198"/>
    <w:rsid w:val="5FBA3DFB"/>
    <w:rsid w:val="5FBE08A4"/>
    <w:rsid w:val="5FBF1110"/>
    <w:rsid w:val="5FC2727A"/>
    <w:rsid w:val="5FCF0BA7"/>
    <w:rsid w:val="5FD07B4C"/>
    <w:rsid w:val="5FDB5CD7"/>
    <w:rsid w:val="5FF67529"/>
    <w:rsid w:val="60066522"/>
    <w:rsid w:val="60172FFB"/>
    <w:rsid w:val="602729AB"/>
    <w:rsid w:val="60326810"/>
    <w:rsid w:val="603C0CB4"/>
    <w:rsid w:val="603F12DC"/>
    <w:rsid w:val="604364E6"/>
    <w:rsid w:val="60567A3B"/>
    <w:rsid w:val="605E7790"/>
    <w:rsid w:val="6065020A"/>
    <w:rsid w:val="60793CB6"/>
    <w:rsid w:val="607B21B4"/>
    <w:rsid w:val="60805666"/>
    <w:rsid w:val="608B3C69"/>
    <w:rsid w:val="609F196E"/>
    <w:rsid w:val="60A220DD"/>
    <w:rsid w:val="60A522C5"/>
    <w:rsid w:val="60AC5E39"/>
    <w:rsid w:val="60B87A66"/>
    <w:rsid w:val="60BC0397"/>
    <w:rsid w:val="60D5684F"/>
    <w:rsid w:val="60DA64BC"/>
    <w:rsid w:val="60E229F6"/>
    <w:rsid w:val="60F06EFE"/>
    <w:rsid w:val="60F11153"/>
    <w:rsid w:val="60F670B5"/>
    <w:rsid w:val="61015C7C"/>
    <w:rsid w:val="6109328C"/>
    <w:rsid w:val="610F0E49"/>
    <w:rsid w:val="611E1FFD"/>
    <w:rsid w:val="61423280"/>
    <w:rsid w:val="614E0C9F"/>
    <w:rsid w:val="6151275D"/>
    <w:rsid w:val="61597A3B"/>
    <w:rsid w:val="616153D3"/>
    <w:rsid w:val="61695559"/>
    <w:rsid w:val="6170330B"/>
    <w:rsid w:val="617378D1"/>
    <w:rsid w:val="61776447"/>
    <w:rsid w:val="61783F6D"/>
    <w:rsid w:val="618A5DE0"/>
    <w:rsid w:val="618C471C"/>
    <w:rsid w:val="6191235B"/>
    <w:rsid w:val="61926DDD"/>
    <w:rsid w:val="61A94127"/>
    <w:rsid w:val="61AB7E06"/>
    <w:rsid w:val="61AB7E9F"/>
    <w:rsid w:val="61AD1E69"/>
    <w:rsid w:val="61B273EA"/>
    <w:rsid w:val="61C40F61"/>
    <w:rsid w:val="61C64CD9"/>
    <w:rsid w:val="61E07E1A"/>
    <w:rsid w:val="61E22DEF"/>
    <w:rsid w:val="61F05DB2"/>
    <w:rsid w:val="61FA14CC"/>
    <w:rsid w:val="62053A53"/>
    <w:rsid w:val="620B4CE8"/>
    <w:rsid w:val="62133F62"/>
    <w:rsid w:val="621877AE"/>
    <w:rsid w:val="621B36F3"/>
    <w:rsid w:val="62233ED9"/>
    <w:rsid w:val="6236795D"/>
    <w:rsid w:val="62387FAF"/>
    <w:rsid w:val="623936FD"/>
    <w:rsid w:val="623B2220"/>
    <w:rsid w:val="624F4CCE"/>
    <w:rsid w:val="62712E97"/>
    <w:rsid w:val="62715DB3"/>
    <w:rsid w:val="627209BD"/>
    <w:rsid w:val="627D4DA8"/>
    <w:rsid w:val="62802FEC"/>
    <w:rsid w:val="62830E1C"/>
    <w:rsid w:val="628C4BD4"/>
    <w:rsid w:val="628D3A49"/>
    <w:rsid w:val="62922D69"/>
    <w:rsid w:val="62970456"/>
    <w:rsid w:val="62C104D1"/>
    <w:rsid w:val="62CB23B6"/>
    <w:rsid w:val="62D201FC"/>
    <w:rsid w:val="62D460A8"/>
    <w:rsid w:val="62F80177"/>
    <w:rsid w:val="62FB1743"/>
    <w:rsid w:val="62FC6DD3"/>
    <w:rsid w:val="63055C5C"/>
    <w:rsid w:val="632B74E9"/>
    <w:rsid w:val="632E33EB"/>
    <w:rsid w:val="63360412"/>
    <w:rsid w:val="63400ABB"/>
    <w:rsid w:val="63405A28"/>
    <w:rsid w:val="63450F1F"/>
    <w:rsid w:val="63451475"/>
    <w:rsid w:val="635B01CB"/>
    <w:rsid w:val="637D4B44"/>
    <w:rsid w:val="63900C5C"/>
    <w:rsid w:val="63A8314E"/>
    <w:rsid w:val="63CA5085"/>
    <w:rsid w:val="63CD6C26"/>
    <w:rsid w:val="63D66820"/>
    <w:rsid w:val="63E12A1A"/>
    <w:rsid w:val="63F975E8"/>
    <w:rsid w:val="63FE4BFE"/>
    <w:rsid w:val="64032214"/>
    <w:rsid w:val="64040787"/>
    <w:rsid w:val="64095516"/>
    <w:rsid w:val="64106B51"/>
    <w:rsid w:val="641B13C6"/>
    <w:rsid w:val="642A452A"/>
    <w:rsid w:val="642A77A1"/>
    <w:rsid w:val="642B3519"/>
    <w:rsid w:val="642D54E3"/>
    <w:rsid w:val="64432611"/>
    <w:rsid w:val="64485E79"/>
    <w:rsid w:val="6468651B"/>
    <w:rsid w:val="646955FF"/>
    <w:rsid w:val="64715B1C"/>
    <w:rsid w:val="647B0CD6"/>
    <w:rsid w:val="64852C29"/>
    <w:rsid w:val="648B2AD1"/>
    <w:rsid w:val="648F1CFA"/>
    <w:rsid w:val="64B054EB"/>
    <w:rsid w:val="64B24770"/>
    <w:rsid w:val="64C37BF6"/>
    <w:rsid w:val="64C5396E"/>
    <w:rsid w:val="64C719D6"/>
    <w:rsid w:val="64CA4C4C"/>
    <w:rsid w:val="64CA5B69"/>
    <w:rsid w:val="64CB1E88"/>
    <w:rsid w:val="64CF20F6"/>
    <w:rsid w:val="64D6170C"/>
    <w:rsid w:val="64DE77A6"/>
    <w:rsid w:val="64E2007C"/>
    <w:rsid w:val="64E44070"/>
    <w:rsid w:val="64E52F4A"/>
    <w:rsid w:val="64EA656E"/>
    <w:rsid w:val="64F00F76"/>
    <w:rsid w:val="64F953C5"/>
    <w:rsid w:val="65081201"/>
    <w:rsid w:val="650C6EA7"/>
    <w:rsid w:val="651144BD"/>
    <w:rsid w:val="651B358E"/>
    <w:rsid w:val="65354E78"/>
    <w:rsid w:val="653B778C"/>
    <w:rsid w:val="653F54CE"/>
    <w:rsid w:val="654142AB"/>
    <w:rsid w:val="654F73EE"/>
    <w:rsid w:val="655C7883"/>
    <w:rsid w:val="65680A32"/>
    <w:rsid w:val="656F3CB1"/>
    <w:rsid w:val="657C5397"/>
    <w:rsid w:val="65892308"/>
    <w:rsid w:val="65AB2B63"/>
    <w:rsid w:val="65B5189C"/>
    <w:rsid w:val="65C43C25"/>
    <w:rsid w:val="65C77271"/>
    <w:rsid w:val="65CE503D"/>
    <w:rsid w:val="65D16A4E"/>
    <w:rsid w:val="65E10333"/>
    <w:rsid w:val="65E924C8"/>
    <w:rsid w:val="65F55B99"/>
    <w:rsid w:val="65FD3ABC"/>
    <w:rsid w:val="660E3AE9"/>
    <w:rsid w:val="661A55F3"/>
    <w:rsid w:val="661B3B4A"/>
    <w:rsid w:val="6622438B"/>
    <w:rsid w:val="662B15AE"/>
    <w:rsid w:val="662E109F"/>
    <w:rsid w:val="66303069"/>
    <w:rsid w:val="66394300"/>
    <w:rsid w:val="66467D95"/>
    <w:rsid w:val="66477D49"/>
    <w:rsid w:val="665925BF"/>
    <w:rsid w:val="6670221A"/>
    <w:rsid w:val="66734EA8"/>
    <w:rsid w:val="66754F1F"/>
    <w:rsid w:val="66826626"/>
    <w:rsid w:val="668B029F"/>
    <w:rsid w:val="66AF3F8D"/>
    <w:rsid w:val="66B9519C"/>
    <w:rsid w:val="66CD0B78"/>
    <w:rsid w:val="66E25FA5"/>
    <w:rsid w:val="67074C6F"/>
    <w:rsid w:val="670A34B7"/>
    <w:rsid w:val="670C4520"/>
    <w:rsid w:val="670E2B83"/>
    <w:rsid w:val="671B6DAF"/>
    <w:rsid w:val="672A5D0A"/>
    <w:rsid w:val="672C7CD4"/>
    <w:rsid w:val="67371303"/>
    <w:rsid w:val="673F7A07"/>
    <w:rsid w:val="67506A29"/>
    <w:rsid w:val="67566EED"/>
    <w:rsid w:val="67572F2C"/>
    <w:rsid w:val="67616F68"/>
    <w:rsid w:val="6783774F"/>
    <w:rsid w:val="67874F0A"/>
    <w:rsid w:val="678F7FED"/>
    <w:rsid w:val="67921E59"/>
    <w:rsid w:val="67B81568"/>
    <w:rsid w:val="67CF6615"/>
    <w:rsid w:val="67D07A51"/>
    <w:rsid w:val="67D5211A"/>
    <w:rsid w:val="67D94855"/>
    <w:rsid w:val="67DC3CD7"/>
    <w:rsid w:val="67E850B8"/>
    <w:rsid w:val="67ED42D2"/>
    <w:rsid w:val="68095154"/>
    <w:rsid w:val="680C5410"/>
    <w:rsid w:val="681F15E7"/>
    <w:rsid w:val="68266ACB"/>
    <w:rsid w:val="683F5845"/>
    <w:rsid w:val="684B23DC"/>
    <w:rsid w:val="68692862"/>
    <w:rsid w:val="68725BBA"/>
    <w:rsid w:val="68821CC5"/>
    <w:rsid w:val="688356D2"/>
    <w:rsid w:val="688558EE"/>
    <w:rsid w:val="68903394"/>
    <w:rsid w:val="68921DDE"/>
    <w:rsid w:val="689378DB"/>
    <w:rsid w:val="689A2A1B"/>
    <w:rsid w:val="68B07410"/>
    <w:rsid w:val="68CD3126"/>
    <w:rsid w:val="68CF7B44"/>
    <w:rsid w:val="68D03617"/>
    <w:rsid w:val="68D55C1E"/>
    <w:rsid w:val="68D56ED4"/>
    <w:rsid w:val="68E32613"/>
    <w:rsid w:val="68E61058"/>
    <w:rsid w:val="68E63EB3"/>
    <w:rsid w:val="68ED6FEF"/>
    <w:rsid w:val="69083E29"/>
    <w:rsid w:val="690960EA"/>
    <w:rsid w:val="691505E9"/>
    <w:rsid w:val="691A3D61"/>
    <w:rsid w:val="691C0B39"/>
    <w:rsid w:val="692B556D"/>
    <w:rsid w:val="693B4C2D"/>
    <w:rsid w:val="693E3CEF"/>
    <w:rsid w:val="693F31C7"/>
    <w:rsid w:val="69413CEA"/>
    <w:rsid w:val="695A1B11"/>
    <w:rsid w:val="695A5BBD"/>
    <w:rsid w:val="69692B1A"/>
    <w:rsid w:val="696D702A"/>
    <w:rsid w:val="697B284D"/>
    <w:rsid w:val="69A148D2"/>
    <w:rsid w:val="69A61539"/>
    <w:rsid w:val="69BC4DF4"/>
    <w:rsid w:val="69BE6AB7"/>
    <w:rsid w:val="69D750BF"/>
    <w:rsid w:val="69D81A4D"/>
    <w:rsid w:val="69DF533B"/>
    <w:rsid w:val="69ED5D65"/>
    <w:rsid w:val="69F05CE0"/>
    <w:rsid w:val="69F640FE"/>
    <w:rsid w:val="69FA25AF"/>
    <w:rsid w:val="69FD6653"/>
    <w:rsid w:val="6A060187"/>
    <w:rsid w:val="6A140BE4"/>
    <w:rsid w:val="6A191D4E"/>
    <w:rsid w:val="6A1F0D5E"/>
    <w:rsid w:val="6A2D2AF1"/>
    <w:rsid w:val="6A5A1AFD"/>
    <w:rsid w:val="6A5E4CC7"/>
    <w:rsid w:val="6A691E74"/>
    <w:rsid w:val="6A7A1076"/>
    <w:rsid w:val="6A7C7E1F"/>
    <w:rsid w:val="6A7D446D"/>
    <w:rsid w:val="6A84067F"/>
    <w:rsid w:val="6A86594D"/>
    <w:rsid w:val="6A8B7554"/>
    <w:rsid w:val="6A8C4CAC"/>
    <w:rsid w:val="6A964A00"/>
    <w:rsid w:val="6A9736B6"/>
    <w:rsid w:val="6A9927D2"/>
    <w:rsid w:val="6AA3205B"/>
    <w:rsid w:val="6AA53FB3"/>
    <w:rsid w:val="6AA60986"/>
    <w:rsid w:val="6AB556D8"/>
    <w:rsid w:val="6ACF4D1C"/>
    <w:rsid w:val="6AEF34F2"/>
    <w:rsid w:val="6AF9611F"/>
    <w:rsid w:val="6AFA2377"/>
    <w:rsid w:val="6B07083C"/>
    <w:rsid w:val="6B0E1E52"/>
    <w:rsid w:val="6B102356"/>
    <w:rsid w:val="6B20111D"/>
    <w:rsid w:val="6B29186B"/>
    <w:rsid w:val="6B431AA9"/>
    <w:rsid w:val="6B431E5E"/>
    <w:rsid w:val="6B4B3093"/>
    <w:rsid w:val="6B5624F5"/>
    <w:rsid w:val="6B572CF7"/>
    <w:rsid w:val="6B617D17"/>
    <w:rsid w:val="6B6B7E7F"/>
    <w:rsid w:val="6B7B4D86"/>
    <w:rsid w:val="6B8511DC"/>
    <w:rsid w:val="6B875A40"/>
    <w:rsid w:val="6B9774C9"/>
    <w:rsid w:val="6BA53BB1"/>
    <w:rsid w:val="6BB1546B"/>
    <w:rsid w:val="6BC82536"/>
    <w:rsid w:val="6BC87B3D"/>
    <w:rsid w:val="6BD36970"/>
    <w:rsid w:val="6BE0108D"/>
    <w:rsid w:val="6C021003"/>
    <w:rsid w:val="6C0F54CE"/>
    <w:rsid w:val="6C2E0FC4"/>
    <w:rsid w:val="6C354F35"/>
    <w:rsid w:val="6C3A4A53"/>
    <w:rsid w:val="6C481B35"/>
    <w:rsid w:val="6C5068A3"/>
    <w:rsid w:val="6C515AE7"/>
    <w:rsid w:val="6C551A40"/>
    <w:rsid w:val="6C5D5ECF"/>
    <w:rsid w:val="6C6401EA"/>
    <w:rsid w:val="6C653F46"/>
    <w:rsid w:val="6C6F4A29"/>
    <w:rsid w:val="6C7E2A54"/>
    <w:rsid w:val="6C89702F"/>
    <w:rsid w:val="6C9C1458"/>
    <w:rsid w:val="6CB55E82"/>
    <w:rsid w:val="6CB63DA8"/>
    <w:rsid w:val="6CBD0550"/>
    <w:rsid w:val="6CC22541"/>
    <w:rsid w:val="6CD96208"/>
    <w:rsid w:val="6D056FFD"/>
    <w:rsid w:val="6D132BE0"/>
    <w:rsid w:val="6D194857"/>
    <w:rsid w:val="6D201D79"/>
    <w:rsid w:val="6D24538C"/>
    <w:rsid w:val="6D2A57EE"/>
    <w:rsid w:val="6D315E97"/>
    <w:rsid w:val="6D383A6A"/>
    <w:rsid w:val="6D3B3907"/>
    <w:rsid w:val="6D4C69DA"/>
    <w:rsid w:val="6D54588F"/>
    <w:rsid w:val="6D62634D"/>
    <w:rsid w:val="6D6A50B2"/>
    <w:rsid w:val="6D707DF0"/>
    <w:rsid w:val="6D725CA3"/>
    <w:rsid w:val="6D7269A8"/>
    <w:rsid w:val="6D794294"/>
    <w:rsid w:val="6D7956BF"/>
    <w:rsid w:val="6D8215D3"/>
    <w:rsid w:val="6D8223FC"/>
    <w:rsid w:val="6D8301B9"/>
    <w:rsid w:val="6D8F4B19"/>
    <w:rsid w:val="6DA2484C"/>
    <w:rsid w:val="6DA47CF5"/>
    <w:rsid w:val="6DAB3516"/>
    <w:rsid w:val="6DAE1443"/>
    <w:rsid w:val="6DB6648C"/>
    <w:rsid w:val="6DD33049"/>
    <w:rsid w:val="6DEF2023"/>
    <w:rsid w:val="6DF64B98"/>
    <w:rsid w:val="6DFB3F5C"/>
    <w:rsid w:val="6E021698"/>
    <w:rsid w:val="6E05302D"/>
    <w:rsid w:val="6E1F5E9D"/>
    <w:rsid w:val="6E22668F"/>
    <w:rsid w:val="6E22773B"/>
    <w:rsid w:val="6E26547D"/>
    <w:rsid w:val="6E3A0084"/>
    <w:rsid w:val="6E4635D2"/>
    <w:rsid w:val="6E497E23"/>
    <w:rsid w:val="6E4A5348"/>
    <w:rsid w:val="6E5378F4"/>
    <w:rsid w:val="6E5F3C3B"/>
    <w:rsid w:val="6E674F9E"/>
    <w:rsid w:val="6E6D5751"/>
    <w:rsid w:val="6E7A4256"/>
    <w:rsid w:val="6E843F52"/>
    <w:rsid w:val="6E922B12"/>
    <w:rsid w:val="6E9E20A8"/>
    <w:rsid w:val="6EA840E4"/>
    <w:rsid w:val="6EAE7D36"/>
    <w:rsid w:val="6EB96428"/>
    <w:rsid w:val="6EF07839"/>
    <w:rsid w:val="6F194F3B"/>
    <w:rsid w:val="6F1A1854"/>
    <w:rsid w:val="6F1B29EC"/>
    <w:rsid w:val="6F255735"/>
    <w:rsid w:val="6F3913EE"/>
    <w:rsid w:val="6F3E3CF8"/>
    <w:rsid w:val="6F413BF1"/>
    <w:rsid w:val="6F441E72"/>
    <w:rsid w:val="6F5041FD"/>
    <w:rsid w:val="6F525DFE"/>
    <w:rsid w:val="6F5306C1"/>
    <w:rsid w:val="6F571EA9"/>
    <w:rsid w:val="6F6F69B0"/>
    <w:rsid w:val="6F766ED5"/>
    <w:rsid w:val="6F854615"/>
    <w:rsid w:val="6F8D3899"/>
    <w:rsid w:val="6F9570F5"/>
    <w:rsid w:val="6F9E26CD"/>
    <w:rsid w:val="6FA64098"/>
    <w:rsid w:val="6FB63308"/>
    <w:rsid w:val="6FB865A9"/>
    <w:rsid w:val="6FCD36D6"/>
    <w:rsid w:val="6FD44A65"/>
    <w:rsid w:val="6FD902CD"/>
    <w:rsid w:val="6FE16655"/>
    <w:rsid w:val="6FE726C4"/>
    <w:rsid w:val="6FE94760"/>
    <w:rsid w:val="6FF458CF"/>
    <w:rsid w:val="6FF944CB"/>
    <w:rsid w:val="700057D1"/>
    <w:rsid w:val="700D7581"/>
    <w:rsid w:val="70264699"/>
    <w:rsid w:val="70283047"/>
    <w:rsid w:val="702D3FA9"/>
    <w:rsid w:val="702F2A3B"/>
    <w:rsid w:val="703340EA"/>
    <w:rsid w:val="70384FF4"/>
    <w:rsid w:val="70425469"/>
    <w:rsid w:val="70425E72"/>
    <w:rsid w:val="70455963"/>
    <w:rsid w:val="70506675"/>
    <w:rsid w:val="70585696"/>
    <w:rsid w:val="70593033"/>
    <w:rsid w:val="706378CC"/>
    <w:rsid w:val="706758D9"/>
    <w:rsid w:val="706F09F5"/>
    <w:rsid w:val="707F2C23"/>
    <w:rsid w:val="70871AD7"/>
    <w:rsid w:val="708F0AF3"/>
    <w:rsid w:val="70932F9C"/>
    <w:rsid w:val="709B6E72"/>
    <w:rsid w:val="709F441D"/>
    <w:rsid w:val="70B05D45"/>
    <w:rsid w:val="70D54F38"/>
    <w:rsid w:val="70DE7638"/>
    <w:rsid w:val="70E17742"/>
    <w:rsid w:val="70F85725"/>
    <w:rsid w:val="710070B3"/>
    <w:rsid w:val="7104581E"/>
    <w:rsid w:val="710E2334"/>
    <w:rsid w:val="7111301E"/>
    <w:rsid w:val="71285068"/>
    <w:rsid w:val="712B6906"/>
    <w:rsid w:val="71463F1F"/>
    <w:rsid w:val="714C3E17"/>
    <w:rsid w:val="714D4ACF"/>
    <w:rsid w:val="716360A0"/>
    <w:rsid w:val="71687F6C"/>
    <w:rsid w:val="71696914"/>
    <w:rsid w:val="716D7562"/>
    <w:rsid w:val="716F0EE9"/>
    <w:rsid w:val="71716B68"/>
    <w:rsid w:val="717B659C"/>
    <w:rsid w:val="718F50E7"/>
    <w:rsid w:val="719426FE"/>
    <w:rsid w:val="719474A1"/>
    <w:rsid w:val="71BC1338"/>
    <w:rsid w:val="71BE777B"/>
    <w:rsid w:val="71C034F3"/>
    <w:rsid w:val="71C254BD"/>
    <w:rsid w:val="71CD6690"/>
    <w:rsid w:val="71CE09AC"/>
    <w:rsid w:val="71DE1BCB"/>
    <w:rsid w:val="71E74569"/>
    <w:rsid w:val="720807ED"/>
    <w:rsid w:val="721456BF"/>
    <w:rsid w:val="72231757"/>
    <w:rsid w:val="7223194D"/>
    <w:rsid w:val="72231CD3"/>
    <w:rsid w:val="722A535E"/>
    <w:rsid w:val="7231619E"/>
    <w:rsid w:val="723E07D8"/>
    <w:rsid w:val="723F4635"/>
    <w:rsid w:val="724C4D86"/>
    <w:rsid w:val="72683AFF"/>
    <w:rsid w:val="72695938"/>
    <w:rsid w:val="727F33AE"/>
    <w:rsid w:val="72841023"/>
    <w:rsid w:val="7288129C"/>
    <w:rsid w:val="72895FDA"/>
    <w:rsid w:val="728C7879"/>
    <w:rsid w:val="72902194"/>
    <w:rsid w:val="72943278"/>
    <w:rsid w:val="7299488A"/>
    <w:rsid w:val="729B7059"/>
    <w:rsid w:val="72BF6CE7"/>
    <w:rsid w:val="72C2773E"/>
    <w:rsid w:val="72CE6C1B"/>
    <w:rsid w:val="72EB1FAD"/>
    <w:rsid w:val="72EB29D0"/>
    <w:rsid w:val="72F84F0E"/>
    <w:rsid w:val="731004AA"/>
    <w:rsid w:val="731E3BC5"/>
    <w:rsid w:val="731F06ED"/>
    <w:rsid w:val="733777E5"/>
    <w:rsid w:val="733D0B73"/>
    <w:rsid w:val="7346211D"/>
    <w:rsid w:val="73555EBD"/>
    <w:rsid w:val="736042BF"/>
    <w:rsid w:val="73687171"/>
    <w:rsid w:val="736A5E0C"/>
    <w:rsid w:val="736C7FB4"/>
    <w:rsid w:val="73717177"/>
    <w:rsid w:val="73770529"/>
    <w:rsid w:val="73814F04"/>
    <w:rsid w:val="738F5872"/>
    <w:rsid w:val="73AE130C"/>
    <w:rsid w:val="73B2330F"/>
    <w:rsid w:val="73B3623A"/>
    <w:rsid w:val="73C44DF0"/>
    <w:rsid w:val="73CE3CDF"/>
    <w:rsid w:val="73D80710"/>
    <w:rsid w:val="73E71C5A"/>
    <w:rsid w:val="73F4635E"/>
    <w:rsid w:val="73FB4CB6"/>
    <w:rsid w:val="73FF3E80"/>
    <w:rsid w:val="740C6EC3"/>
    <w:rsid w:val="74104B37"/>
    <w:rsid w:val="74192ACF"/>
    <w:rsid w:val="741A0171"/>
    <w:rsid w:val="741B0183"/>
    <w:rsid w:val="743467DF"/>
    <w:rsid w:val="7441186B"/>
    <w:rsid w:val="744339DE"/>
    <w:rsid w:val="7443665D"/>
    <w:rsid w:val="744D4CD1"/>
    <w:rsid w:val="745D14CD"/>
    <w:rsid w:val="745D7787"/>
    <w:rsid w:val="745E268C"/>
    <w:rsid w:val="746359B5"/>
    <w:rsid w:val="746C7962"/>
    <w:rsid w:val="746F350B"/>
    <w:rsid w:val="747205FC"/>
    <w:rsid w:val="74761431"/>
    <w:rsid w:val="747D1B6F"/>
    <w:rsid w:val="747E1BD0"/>
    <w:rsid w:val="74910D08"/>
    <w:rsid w:val="749649DF"/>
    <w:rsid w:val="74A013B9"/>
    <w:rsid w:val="74C25FD5"/>
    <w:rsid w:val="74C4658C"/>
    <w:rsid w:val="74C61A7C"/>
    <w:rsid w:val="74C74D36"/>
    <w:rsid w:val="74DF6386"/>
    <w:rsid w:val="74E21681"/>
    <w:rsid w:val="74EB4D2A"/>
    <w:rsid w:val="74F040EF"/>
    <w:rsid w:val="752012AD"/>
    <w:rsid w:val="7521326F"/>
    <w:rsid w:val="7522044A"/>
    <w:rsid w:val="75280003"/>
    <w:rsid w:val="752B57D9"/>
    <w:rsid w:val="752F4467"/>
    <w:rsid w:val="753730D4"/>
    <w:rsid w:val="754C1383"/>
    <w:rsid w:val="755443BE"/>
    <w:rsid w:val="755446D6"/>
    <w:rsid w:val="75573A90"/>
    <w:rsid w:val="755C3532"/>
    <w:rsid w:val="755F069C"/>
    <w:rsid w:val="756A4F88"/>
    <w:rsid w:val="7570339F"/>
    <w:rsid w:val="757840E4"/>
    <w:rsid w:val="757B026B"/>
    <w:rsid w:val="75805E1A"/>
    <w:rsid w:val="7587042E"/>
    <w:rsid w:val="759E344D"/>
    <w:rsid w:val="75A0762C"/>
    <w:rsid w:val="75B026A7"/>
    <w:rsid w:val="75CC338D"/>
    <w:rsid w:val="75E8126A"/>
    <w:rsid w:val="75F87D4E"/>
    <w:rsid w:val="760232AC"/>
    <w:rsid w:val="760C26AA"/>
    <w:rsid w:val="760F102B"/>
    <w:rsid w:val="763508E5"/>
    <w:rsid w:val="764F3097"/>
    <w:rsid w:val="7662101C"/>
    <w:rsid w:val="7662726E"/>
    <w:rsid w:val="7665041C"/>
    <w:rsid w:val="76684159"/>
    <w:rsid w:val="766A30C6"/>
    <w:rsid w:val="767A3346"/>
    <w:rsid w:val="76805946"/>
    <w:rsid w:val="76830F93"/>
    <w:rsid w:val="76857BC9"/>
    <w:rsid w:val="76866FD1"/>
    <w:rsid w:val="76870A83"/>
    <w:rsid w:val="76876395"/>
    <w:rsid w:val="769A6A08"/>
    <w:rsid w:val="769C07B3"/>
    <w:rsid w:val="76C9709A"/>
    <w:rsid w:val="76D33CC8"/>
    <w:rsid w:val="76DA6A9E"/>
    <w:rsid w:val="76E3420A"/>
    <w:rsid w:val="76FB24FC"/>
    <w:rsid w:val="76FD0D45"/>
    <w:rsid w:val="770E4A0E"/>
    <w:rsid w:val="770E4D00"/>
    <w:rsid w:val="77167BF4"/>
    <w:rsid w:val="771A7525"/>
    <w:rsid w:val="77257ED0"/>
    <w:rsid w:val="77286C33"/>
    <w:rsid w:val="772956DC"/>
    <w:rsid w:val="773A1088"/>
    <w:rsid w:val="77460CC4"/>
    <w:rsid w:val="77575D2B"/>
    <w:rsid w:val="7758241F"/>
    <w:rsid w:val="77642B72"/>
    <w:rsid w:val="776D39E8"/>
    <w:rsid w:val="776F449C"/>
    <w:rsid w:val="77784546"/>
    <w:rsid w:val="778751EF"/>
    <w:rsid w:val="77962B85"/>
    <w:rsid w:val="77974CF6"/>
    <w:rsid w:val="77A72407"/>
    <w:rsid w:val="77BC31CA"/>
    <w:rsid w:val="77C0181F"/>
    <w:rsid w:val="77C27899"/>
    <w:rsid w:val="77C724AC"/>
    <w:rsid w:val="77D65B7C"/>
    <w:rsid w:val="77E548C5"/>
    <w:rsid w:val="77E82C84"/>
    <w:rsid w:val="77EA6250"/>
    <w:rsid w:val="78011EF1"/>
    <w:rsid w:val="78037848"/>
    <w:rsid w:val="78165ACC"/>
    <w:rsid w:val="78190E81"/>
    <w:rsid w:val="781A733A"/>
    <w:rsid w:val="781D5377"/>
    <w:rsid w:val="78210A63"/>
    <w:rsid w:val="782603A4"/>
    <w:rsid w:val="78372035"/>
    <w:rsid w:val="784373D1"/>
    <w:rsid w:val="785250C1"/>
    <w:rsid w:val="785901FD"/>
    <w:rsid w:val="785A2E0C"/>
    <w:rsid w:val="78623201"/>
    <w:rsid w:val="7869348B"/>
    <w:rsid w:val="78695554"/>
    <w:rsid w:val="78715547"/>
    <w:rsid w:val="78773D2D"/>
    <w:rsid w:val="788039DC"/>
    <w:rsid w:val="788B7F7E"/>
    <w:rsid w:val="788C37F7"/>
    <w:rsid w:val="789B0816"/>
    <w:rsid w:val="78A0111E"/>
    <w:rsid w:val="78A162C6"/>
    <w:rsid w:val="78A70701"/>
    <w:rsid w:val="78CC2A6A"/>
    <w:rsid w:val="78DC699B"/>
    <w:rsid w:val="78E33F6B"/>
    <w:rsid w:val="78E55DC7"/>
    <w:rsid w:val="78FD17FC"/>
    <w:rsid w:val="79022643"/>
    <w:rsid w:val="7906574A"/>
    <w:rsid w:val="790F730E"/>
    <w:rsid w:val="791210F7"/>
    <w:rsid w:val="7915193D"/>
    <w:rsid w:val="792151BF"/>
    <w:rsid w:val="792720A9"/>
    <w:rsid w:val="79297B73"/>
    <w:rsid w:val="792B7DEB"/>
    <w:rsid w:val="79336CA0"/>
    <w:rsid w:val="79454CB6"/>
    <w:rsid w:val="794A05DA"/>
    <w:rsid w:val="79532E9E"/>
    <w:rsid w:val="7956473D"/>
    <w:rsid w:val="795F6C37"/>
    <w:rsid w:val="796E3EA9"/>
    <w:rsid w:val="79705208"/>
    <w:rsid w:val="79975481"/>
    <w:rsid w:val="799862EE"/>
    <w:rsid w:val="799F05AC"/>
    <w:rsid w:val="79A2395A"/>
    <w:rsid w:val="79B52096"/>
    <w:rsid w:val="79BC64A4"/>
    <w:rsid w:val="79D833A4"/>
    <w:rsid w:val="79E137D2"/>
    <w:rsid w:val="79ED50A1"/>
    <w:rsid w:val="79ED6E4F"/>
    <w:rsid w:val="79FF1069"/>
    <w:rsid w:val="7A0B57B2"/>
    <w:rsid w:val="7A0B6164"/>
    <w:rsid w:val="7A0F297B"/>
    <w:rsid w:val="7A0F3269"/>
    <w:rsid w:val="7A172D03"/>
    <w:rsid w:val="7A2023BD"/>
    <w:rsid w:val="7A25475B"/>
    <w:rsid w:val="7A3A405E"/>
    <w:rsid w:val="7A4B5CAE"/>
    <w:rsid w:val="7A512115"/>
    <w:rsid w:val="7A5213A8"/>
    <w:rsid w:val="7A57146A"/>
    <w:rsid w:val="7A6D3E9D"/>
    <w:rsid w:val="7A7E03EF"/>
    <w:rsid w:val="7A872C09"/>
    <w:rsid w:val="7A8A2DA5"/>
    <w:rsid w:val="7A8B0FDA"/>
    <w:rsid w:val="7A936854"/>
    <w:rsid w:val="7A9E70B3"/>
    <w:rsid w:val="7AA433B1"/>
    <w:rsid w:val="7AA53BCD"/>
    <w:rsid w:val="7ABC1938"/>
    <w:rsid w:val="7AC1208A"/>
    <w:rsid w:val="7ACE6897"/>
    <w:rsid w:val="7AD12F53"/>
    <w:rsid w:val="7ADC00AA"/>
    <w:rsid w:val="7AE804D8"/>
    <w:rsid w:val="7AE93673"/>
    <w:rsid w:val="7AEB754E"/>
    <w:rsid w:val="7AEC4758"/>
    <w:rsid w:val="7B082F05"/>
    <w:rsid w:val="7B102B79"/>
    <w:rsid w:val="7B1228E5"/>
    <w:rsid w:val="7B145F89"/>
    <w:rsid w:val="7B164183"/>
    <w:rsid w:val="7B276361"/>
    <w:rsid w:val="7B2C39A7"/>
    <w:rsid w:val="7B33611A"/>
    <w:rsid w:val="7B3D5BB4"/>
    <w:rsid w:val="7B446D38"/>
    <w:rsid w:val="7B4927AB"/>
    <w:rsid w:val="7B4A4A7F"/>
    <w:rsid w:val="7B4E7DC1"/>
    <w:rsid w:val="7B581711"/>
    <w:rsid w:val="7B631D38"/>
    <w:rsid w:val="7B6C3519"/>
    <w:rsid w:val="7B6D3B96"/>
    <w:rsid w:val="7B6F4489"/>
    <w:rsid w:val="7B786BEC"/>
    <w:rsid w:val="7B7D2B1A"/>
    <w:rsid w:val="7B841A35"/>
    <w:rsid w:val="7B8D7AD7"/>
    <w:rsid w:val="7B9C6D7F"/>
    <w:rsid w:val="7BA60E86"/>
    <w:rsid w:val="7BB32D5F"/>
    <w:rsid w:val="7BBE7F23"/>
    <w:rsid w:val="7BC736D0"/>
    <w:rsid w:val="7BC77B74"/>
    <w:rsid w:val="7BCE2CB0"/>
    <w:rsid w:val="7BD0027A"/>
    <w:rsid w:val="7BD05D0E"/>
    <w:rsid w:val="7BD209F2"/>
    <w:rsid w:val="7BD52290"/>
    <w:rsid w:val="7BD71391"/>
    <w:rsid w:val="7BEB5610"/>
    <w:rsid w:val="7C0A7917"/>
    <w:rsid w:val="7C0B180E"/>
    <w:rsid w:val="7C0D0815"/>
    <w:rsid w:val="7C0E7550"/>
    <w:rsid w:val="7C125D37"/>
    <w:rsid w:val="7C1D7794"/>
    <w:rsid w:val="7C1F350C"/>
    <w:rsid w:val="7C211032"/>
    <w:rsid w:val="7C294A35"/>
    <w:rsid w:val="7C321491"/>
    <w:rsid w:val="7C3E7E36"/>
    <w:rsid w:val="7C4D62CB"/>
    <w:rsid w:val="7C505B09"/>
    <w:rsid w:val="7C785B9D"/>
    <w:rsid w:val="7C7A35C9"/>
    <w:rsid w:val="7C7A4C5A"/>
    <w:rsid w:val="7C7D684C"/>
    <w:rsid w:val="7C7F6382"/>
    <w:rsid w:val="7C991510"/>
    <w:rsid w:val="7C9D1A7D"/>
    <w:rsid w:val="7CA35EEB"/>
    <w:rsid w:val="7CA753D1"/>
    <w:rsid w:val="7CAD5B40"/>
    <w:rsid w:val="7CB15AC4"/>
    <w:rsid w:val="7CB43C54"/>
    <w:rsid w:val="7CCF6CE0"/>
    <w:rsid w:val="7CE27712"/>
    <w:rsid w:val="7CF80CE4"/>
    <w:rsid w:val="7CF90201"/>
    <w:rsid w:val="7D043715"/>
    <w:rsid w:val="7D0754B5"/>
    <w:rsid w:val="7D0755A2"/>
    <w:rsid w:val="7D1312C2"/>
    <w:rsid w:val="7D223DB6"/>
    <w:rsid w:val="7D252DA4"/>
    <w:rsid w:val="7D2A7481"/>
    <w:rsid w:val="7D36003F"/>
    <w:rsid w:val="7D425F2D"/>
    <w:rsid w:val="7D4B4E66"/>
    <w:rsid w:val="7D4C39B6"/>
    <w:rsid w:val="7D6304A7"/>
    <w:rsid w:val="7D782ED3"/>
    <w:rsid w:val="7D787377"/>
    <w:rsid w:val="7D7E4305"/>
    <w:rsid w:val="7D966AD6"/>
    <w:rsid w:val="7D996146"/>
    <w:rsid w:val="7DA22646"/>
    <w:rsid w:val="7DB006F7"/>
    <w:rsid w:val="7DB87774"/>
    <w:rsid w:val="7DC83DF1"/>
    <w:rsid w:val="7DD81455"/>
    <w:rsid w:val="7DE20C95"/>
    <w:rsid w:val="7DE94C40"/>
    <w:rsid w:val="7DEC566F"/>
    <w:rsid w:val="7DF05160"/>
    <w:rsid w:val="7DF97A8B"/>
    <w:rsid w:val="7E0712F2"/>
    <w:rsid w:val="7E1259C9"/>
    <w:rsid w:val="7E186464"/>
    <w:rsid w:val="7E266DD3"/>
    <w:rsid w:val="7E286F6A"/>
    <w:rsid w:val="7E484F9C"/>
    <w:rsid w:val="7E576FED"/>
    <w:rsid w:val="7E6B270E"/>
    <w:rsid w:val="7E6C2621"/>
    <w:rsid w:val="7E78660A"/>
    <w:rsid w:val="7E7C6E18"/>
    <w:rsid w:val="7E7E09BD"/>
    <w:rsid w:val="7E7E6EF1"/>
    <w:rsid w:val="7E8458A8"/>
    <w:rsid w:val="7E8B3FB5"/>
    <w:rsid w:val="7E8F59F5"/>
    <w:rsid w:val="7E9C7095"/>
    <w:rsid w:val="7EA63C5A"/>
    <w:rsid w:val="7EA85A3A"/>
    <w:rsid w:val="7EB50157"/>
    <w:rsid w:val="7ECB797B"/>
    <w:rsid w:val="7ED463A4"/>
    <w:rsid w:val="7ED54963"/>
    <w:rsid w:val="7ED97A95"/>
    <w:rsid w:val="7EE029F0"/>
    <w:rsid w:val="7EE42E8A"/>
    <w:rsid w:val="7EE541BF"/>
    <w:rsid w:val="7EF362AB"/>
    <w:rsid w:val="7EFB49D6"/>
    <w:rsid w:val="7EFE565A"/>
    <w:rsid w:val="7F017107"/>
    <w:rsid w:val="7F086DE8"/>
    <w:rsid w:val="7F1B7D10"/>
    <w:rsid w:val="7F1E5CFC"/>
    <w:rsid w:val="7F221CF3"/>
    <w:rsid w:val="7F250E39"/>
    <w:rsid w:val="7F302FE3"/>
    <w:rsid w:val="7F3D3AED"/>
    <w:rsid w:val="7F403EC5"/>
    <w:rsid w:val="7F4E65E2"/>
    <w:rsid w:val="7F5434CC"/>
    <w:rsid w:val="7F551EE3"/>
    <w:rsid w:val="7F565ECA"/>
    <w:rsid w:val="7F674E25"/>
    <w:rsid w:val="7F6F6029"/>
    <w:rsid w:val="7F717D2A"/>
    <w:rsid w:val="7F79010B"/>
    <w:rsid w:val="7F8B2ADE"/>
    <w:rsid w:val="7F932247"/>
    <w:rsid w:val="7F9B742D"/>
    <w:rsid w:val="7F9F51C2"/>
    <w:rsid w:val="7FA92A83"/>
    <w:rsid w:val="7FBF128D"/>
    <w:rsid w:val="7FC841C1"/>
    <w:rsid w:val="7FF07699"/>
    <w:rsid w:val="7FFD3AB7"/>
    <w:rsid w:val="FBBD31EF"/>
    <w:rsid w:val="FF55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Times New Roman" w:hAnsi="Times New Roman" w:eastAsia="仿宋_GB2312" w:cstheme="minorBidi"/>
      <w:kern w:val="2"/>
      <w:sz w:val="30"/>
      <w:szCs w:val="30"/>
      <w:lang w:val="en-US" w:eastAsia="zh-CN" w:bidi="ar-SA"/>
    </w:rPr>
  </w:style>
  <w:style w:type="paragraph" w:styleId="4">
    <w:name w:val="heading 1"/>
    <w:basedOn w:val="1"/>
    <w:next w:val="1"/>
    <w:link w:val="32"/>
    <w:qFormat/>
    <w:uiPriority w:val="9"/>
    <w:pPr>
      <w:keepNext/>
      <w:keepLines/>
      <w:numPr>
        <w:ilvl w:val="0"/>
        <w:numId w:val="1"/>
      </w:numPr>
      <w:spacing w:before="100" w:beforeLines="100" w:after="100" w:afterLines="100"/>
      <w:ind w:left="0" w:firstLine="0" w:firstLineChars="0"/>
      <w:jc w:val="center"/>
      <w:outlineLvl w:val="0"/>
    </w:pPr>
    <w:rPr>
      <w:rFonts w:eastAsia="黑体" w:asciiTheme="minorHAnsi" w:hAnsiTheme="minorHAnsi"/>
      <w:b/>
      <w:bCs/>
      <w:kern w:val="44"/>
      <w:sz w:val="40"/>
      <w:szCs w:val="44"/>
    </w:rPr>
  </w:style>
  <w:style w:type="paragraph" w:styleId="5">
    <w:name w:val="heading 2"/>
    <w:basedOn w:val="1"/>
    <w:next w:val="1"/>
    <w:link w:val="33"/>
    <w:unhideWhenUsed/>
    <w:qFormat/>
    <w:uiPriority w:val="9"/>
    <w:pPr>
      <w:keepNext/>
      <w:keepLines/>
      <w:numPr>
        <w:ilvl w:val="0"/>
        <w:numId w:val="2"/>
      </w:numPr>
      <w:tabs>
        <w:tab w:val="left" w:pos="0"/>
        <w:tab w:val="center" w:pos="4213"/>
        <w:tab w:val="left" w:pos="6298"/>
      </w:tabs>
      <w:ind w:firstLine="0" w:firstLineChars="0"/>
      <w:jc w:val="center"/>
      <w:outlineLvl w:val="1"/>
    </w:pPr>
    <w:rPr>
      <w:rFonts w:eastAsia="黑体" w:asciiTheme="majorHAnsi" w:hAnsiTheme="majorHAnsi" w:cstheme="majorBidi"/>
      <w:sz w:val="32"/>
    </w:rPr>
  </w:style>
  <w:style w:type="paragraph" w:styleId="6">
    <w:name w:val="heading 3"/>
    <w:basedOn w:val="1"/>
    <w:next w:val="1"/>
    <w:link w:val="29"/>
    <w:unhideWhenUsed/>
    <w:qFormat/>
    <w:uiPriority w:val="9"/>
    <w:pPr>
      <w:numPr>
        <w:ilvl w:val="2"/>
        <w:numId w:val="3"/>
      </w:numPr>
      <w:tabs>
        <w:tab w:val="left" w:pos="0"/>
      </w:tabs>
      <w:spacing w:before="156" w:beforeLines="50" w:after="156" w:afterLines="50"/>
      <w:ind w:firstLine="0" w:firstLineChars="0"/>
      <w:jc w:val="left"/>
      <w:outlineLvl w:val="2"/>
    </w:pPr>
    <w:rPr>
      <w:rFonts w:eastAsia="黑体"/>
      <w:b/>
      <w:bCs/>
      <w:szCs w:val="32"/>
    </w:rPr>
  </w:style>
  <w:style w:type="paragraph" w:styleId="7">
    <w:name w:val="heading 4"/>
    <w:basedOn w:val="1"/>
    <w:next w:val="1"/>
    <w:link w:val="34"/>
    <w:semiHidden/>
    <w:unhideWhenUsed/>
    <w:qFormat/>
    <w:uiPriority w:val="9"/>
    <w:pPr>
      <w:keepNext/>
      <w:keepLines/>
      <w:numPr>
        <w:ilvl w:val="3"/>
        <w:numId w:val="4"/>
      </w:numPr>
      <w:spacing w:before="280" w:after="290" w:line="376" w:lineRule="auto"/>
      <w:outlineLvl w:val="3"/>
    </w:pPr>
    <w:rPr>
      <w:rFonts w:asciiTheme="majorHAnsi" w:hAnsiTheme="majorHAnsi" w:eastAsiaTheme="majorEastAsia" w:cstheme="majorBidi"/>
      <w:b/>
      <w:bCs/>
      <w:szCs w:val="28"/>
    </w:rPr>
  </w:style>
  <w:style w:type="paragraph" w:styleId="8">
    <w:name w:val="heading 5"/>
    <w:basedOn w:val="1"/>
    <w:next w:val="1"/>
    <w:link w:val="35"/>
    <w:semiHidden/>
    <w:unhideWhenUsed/>
    <w:qFormat/>
    <w:uiPriority w:val="9"/>
    <w:pPr>
      <w:keepNext/>
      <w:keepLines/>
      <w:numPr>
        <w:ilvl w:val="4"/>
        <w:numId w:val="4"/>
      </w:numPr>
      <w:spacing w:before="280" w:after="290" w:line="376" w:lineRule="auto"/>
      <w:outlineLvl w:val="4"/>
    </w:pPr>
    <w:rPr>
      <w:b/>
      <w:bCs/>
      <w:szCs w:val="28"/>
    </w:rPr>
  </w:style>
  <w:style w:type="paragraph" w:styleId="9">
    <w:name w:val="heading 6"/>
    <w:basedOn w:val="1"/>
    <w:next w:val="1"/>
    <w:link w:val="36"/>
    <w:semiHidden/>
    <w:unhideWhenUsed/>
    <w:qFormat/>
    <w:uiPriority w:val="9"/>
    <w:pPr>
      <w:keepNext/>
      <w:keepLines/>
      <w:numPr>
        <w:ilvl w:val="5"/>
        <w:numId w:val="4"/>
      </w:numPr>
      <w:spacing w:before="240" w:after="64" w:line="320" w:lineRule="auto"/>
      <w:outlineLvl w:val="5"/>
    </w:pPr>
    <w:rPr>
      <w:rFonts w:asciiTheme="majorHAnsi" w:hAnsiTheme="majorHAnsi" w:eastAsiaTheme="majorEastAsia" w:cstheme="majorBidi"/>
      <w:b/>
      <w:bCs/>
      <w:szCs w:val="24"/>
    </w:rPr>
  </w:style>
  <w:style w:type="paragraph" w:styleId="10">
    <w:name w:val="heading 7"/>
    <w:basedOn w:val="1"/>
    <w:next w:val="1"/>
    <w:link w:val="37"/>
    <w:semiHidden/>
    <w:unhideWhenUsed/>
    <w:qFormat/>
    <w:uiPriority w:val="9"/>
    <w:pPr>
      <w:keepNext/>
      <w:keepLines/>
      <w:numPr>
        <w:ilvl w:val="6"/>
        <w:numId w:val="4"/>
      </w:numPr>
      <w:spacing w:before="240" w:after="64" w:line="320" w:lineRule="auto"/>
      <w:outlineLvl w:val="6"/>
    </w:pPr>
    <w:rPr>
      <w:b/>
      <w:bCs/>
      <w:szCs w:val="24"/>
    </w:rPr>
  </w:style>
  <w:style w:type="paragraph" w:styleId="11">
    <w:name w:val="heading 8"/>
    <w:basedOn w:val="1"/>
    <w:next w:val="1"/>
    <w:link w:val="38"/>
    <w:semiHidden/>
    <w:unhideWhenUsed/>
    <w:qFormat/>
    <w:uiPriority w:val="9"/>
    <w:pPr>
      <w:keepNext/>
      <w:keepLines/>
      <w:numPr>
        <w:ilvl w:val="7"/>
        <w:numId w:val="4"/>
      </w:numPr>
      <w:spacing w:before="240" w:after="64" w:line="320" w:lineRule="auto"/>
      <w:outlineLvl w:val="7"/>
    </w:pPr>
    <w:rPr>
      <w:rFonts w:asciiTheme="majorHAnsi" w:hAnsiTheme="majorHAnsi" w:eastAsiaTheme="majorEastAsia" w:cstheme="majorBidi"/>
      <w:szCs w:val="24"/>
    </w:rPr>
  </w:style>
  <w:style w:type="paragraph" w:styleId="12">
    <w:name w:val="heading 9"/>
    <w:basedOn w:val="1"/>
    <w:next w:val="1"/>
    <w:link w:val="39"/>
    <w:semiHidden/>
    <w:unhideWhenUsed/>
    <w:qFormat/>
    <w:uiPriority w:val="9"/>
    <w:pPr>
      <w:keepNext/>
      <w:keepLines/>
      <w:numPr>
        <w:ilvl w:val="8"/>
        <w:numId w:val="4"/>
      </w:numPr>
      <w:spacing w:before="240" w:after="64" w:line="320" w:lineRule="auto"/>
      <w:outlineLvl w:val="8"/>
    </w:pPr>
    <w:rPr>
      <w:rFonts w:asciiTheme="majorHAnsi" w:hAnsiTheme="majorHAnsi" w:eastAsiaTheme="majorEastAsia" w:cstheme="majorBidi"/>
      <w:sz w:val="21"/>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0" w:firstLineChars="0"/>
      <w:jc w:val="center"/>
    </w:pPr>
    <w:rPr>
      <w:rFonts w:eastAsia="宋体"/>
      <w:sz w:val="30"/>
    </w:rPr>
  </w:style>
  <w:style w:type="paragraph" w:styleId="3">
    <w:name w:val="Body Text Indent"/>
    <w:basedOn w:val="1"/>
    <w:qFormat/>
    <w:uiPriority w:val="99"/>
    <w:pPr>
      <w:widowControl/>
    </w:pPr>
    <w:rPr>
      <w:rFonts w:eastAsia="仿宋" w:cs="Times New Roman"/>
      <w:sz w:val="22"/>
      <w:szCs w:val="22"/>
    </w:rPr>
  </w:style>
  <w:style w:type="paragraph" w:styleId="13">
    <w:name w:val="annotation text"/>
    <w:basedOn w:val="1"/>
    <w:link w:val="49"/>
    <w:unhideWhenUsed/>
    <w:qFormat/>
    <w:uiPriority w:val="99"/>
    <w:pPr>
      <w:jc w:val="left"/>
    </w:pPr>
  </w:style>
  <w:style w:type="paragraph" w:styleId="14">
    <w:name w:val="Body Text"/>
    <w:basedOn w:val="1"/>
    <w:semiHidden/>
    <w:qFormat/>
    <w:uiPriority w:val="0"/>
    <w:rPr>
      <w:rFonts w:ascii="仿宋" w:hAnsi="仿宋" w:eastAsia="仿宋" w:cs="仿宋"/>
      <w:sz w:val="27"/>
      <w:szCs w:val="27"/>
      <w:lang w:eastAsia="en-US"/>
    </w:rPr>
  </w:style>
  <w:style w:type="paragraph" w:styleId="15">
    <w:name w:val="toc 3"/>
    <w:basedOn w:val="1"/>
    <w:next w:val="1"/>
    <w:unhideWhenUsed/>
    <w:qFormat/>
    <w:uiPriority w:val="39"/>
    <w:pPr>
      <w:ind w:left="840" w:leftChars="400"/>
    </w:pPr>
  </w:style>
  <w:style w:type="paragraph" w:styleId="16">
    <w:name w:val="footer"/>
    <w:basedOn w:val="1"/>
    <w:link w:val="55"/>
    <w:unhideWhenUsed/>
    <w:qFormat/>
    <w:uiPriority w:val="99"/>
    <w:pPr>
      <w:tabs>
        <w:tab w:val="center" w:pos="4153"/>
        <w:tab w:val="right" w:pos="8306"/>
      </w:tabs>
      <w:snapToGrid w:val="0"/>
      <w:jc w:val="left"/>
    </w:pPr>
    <w:rPr>
      <w:sz w:val="18"/>
    </w:rPr>
  </w:style>
  <w:style w:type="paragraph" w:styleId="1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footnote text"/>
    <w:basedOn w:val="1"/>
    <w:semiHidden/>
    <w:unhideWhenUsed/>
    <w:qFormat/>
    <w:uiPriority w:val="99"/>
    <w:pPr>
      <w:widowControl/>
      <w:snapToGrid w:val="0"/>
    </w:pPr>
    <w:rPr>
      <w:rFonts w:ascii="仿宋_GB2312" w:hAnsi="仿宋"/>
      <w:sz w:val="18"/>
      <w:szCs w:val="18"/>
    </w:rPr>
  </w:style>
  <w:style w:type="paragraph" w:styleId="20">
    <w:name w:val="toc 2"/>
    <w:basedOn w:val="1"/>
    <w:next w:val="1"/>
    <w:unhideWhenUsed/>
    <w:qFormat/>
    <w:uiPriority w:val="39"/>
    <w:pPr>
      <w:tabs>
        <w:tab w:val="right" w:leader="dot" w:pos="8296"/>
      </w:tabs>
      <w:ind w:left="600" w:leftChars="200" w:firstLine="482"/>
    </w:pPr>
    <w:rPr>
      <w:rFonts w:ascii="仿宋_GB2312" w:hAnsiTheme="majorHAnsi" w:cstheme="majorBidi"/>
      <w:b/>
      <w:bCs/>
      <w:sz w:val="24"/>
      <w:szCs w:val="24"/>
    </w:rPr>
  </w:style>
  <w:style w:type="paragraph" w:styleId="21">
    <w:name w:val="Normal (Web)"/>
    <w:basedOn w:val="1"/>
    <w:semiHidden/>
    <w:unhideWhenUsed/>
    <w:qFormat/>
    <w:uiPriority w:val="99"/>
    <w:pPr>
      <w:spacing w:beforeAutospacing="1" w:afterAutospacing="1"/>
      <w:jc w:val="left"/>
    </w:pPr>
    <w:rPr>
      <w:rFonts w:cs="Times New Roman"/>
      <w:kern w:val="0"/>
      <w:sz w:val="24"/>
    </w:rPr>
  </w:style>
  <w:style w:type="paragraph" w:styleId="22">
    <w:name w:val="annotation subject"/>
    <w:basedOn w:val="13"/>
    <w:next w:val="13"/>
    <w:link w:val="50"/>
    <w:semiHidden/>
    <w:unhideWhenUsed/>
    <w:qFormat/>
    <w:uiPriority w:val="99"/>
    <w:rPr>
      <w:b/>
      <w:bCs/>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00FF"/>
      <w:u w:val="single"/>
    </w:rPr>
  </w:style>
  <w:style w:type="character" w:styleId="27">
    <w:name w:val="annotation reference"/>
    <w:basedOn w:val="25"/>
    <w:semiHidden/>
    <w:unhideWhenUsed/>
    <w:qFormat/>
    <w:uiPriority w:val="99"/>
    <w:rPr>
      <w:sz w:val="21"/>
      <w:szCs w:val="21"/>
    </w:rPr>
  </w:style>
  <w:style w:type="character" w:styleId="28">
    <w:name w:val="footnote reference"/>
    <w:qFormat/>
    <w:uiPriority w:val="99"/>
    <w:rPr>
      <w:vertAlign w:val="superscript"/>
    </w:rPr>
  </w:style>
  <w:style w:type="character" w:customStyle="1" w:styleId="29">
    <w:name w:val="标题 3 字符"/>
    <w:basedOn w:val="25"/>
    <w:link w:val="6"/>
    <w:qFormat/>
    <w:uiPriority w:val="9"/>
    <w:rPr>
      <w:rFonts w:eastAsia="黑体" w:cstheme="minorBidi"/>
      <w:b/>
      <w:bCs/>
      <w:kern w:val="2"/>
      <w:sz w:val="30"/>
      <w:szCs w:val="32"/>
    </w:rPr>
  </w:style>
  <w:style w:type="paragraph" w:customStyle="1" w:styleId="30">
    <w:name w:val="正文缩进1"/>
    <w:basedOn w:val="1"/>
    <w:qFormat/>
    <w:uiPriority w:val="0"/>
    <w:pPr>
      <w:spacing w:line="500" w:lineRule="exact"/>
      <w:ind w:right="26" w:rightChars="8"/>
    </w:pPr>
    <w:rPr>
      <w:rFonts w:ascii="楷体_GB2312" w:eastAsia="楷体_GB2312"/>
      <w:szCs w:val="32"/>
    </w:rPr>
  </w:style>
  <w:style w:type="paragraph" w:styleId="31">
    <w:name w:val="List Paragraph"/>
    <w:basedOn w:val="1"/>
    <w:qFormat/>
    <w:uiPriority w:val="34"/>
    <w:pPr>
      <w:ind w:firstLine="420"/>
    </w:pPr>
  </w:style>
  <w:style w:type="character" w:customStyle="1" w:styleId="32">
    <w:name w:val="标题 1 字符"/>
    <w:basedOn w:val="25"/>
    <w:link w:val="4"/>
    <w:qFormat/>
    <w:uiPriority w:val="9"/>
    <w:rPr>
      <w:rFonts w:eastAsia="黑体" w:asciiTheme="minorHAnsi" w:hAnsiTheme="minorHAnsi" w:cstheme="minorBidi"/>
      <w:b/>
      <w:bCs/>
      <w:kern w:val="44"/>
      <w:sz w:val="40"/>
      <w:szCs w:val="44"/>
    </w:rPr>
  </w:style>
  <w:style w:type="character" w:customStyle="1" w:styleId="33">
    <w:name w:val="标题 2 字符"/>
    <w:basedOn w:val="25"/>
    <w:link w:val="5"/>
    <w:qFormat/>
    <w:uiPriority w:val="9"/>
    <w:rPr>
      <w:rFonts w:eastAsia="黑体" w:asciiTheme="majorHAnsi" w:hAnsiTheme="majorHAnsi" w:cstheme="majorBidi"/>
      <w:kern w:val="2"/>
      <w:sz w:val="32"/>
      <w:szCs w:val="30"/>
    </w:rPr>
  </w:style>
  <w:style w:type="character" w:customStyle="1" w:styleId="34">
    <w:name w:val="标题 4 字符"/>
    <w:basedOn w:val="25"/>
    <w:link w:val="7"/>
    <w:semiHidden/>
    <w:qFormat/>
    <w:uiPriority w:val="9"/>
    <w:rPr>
      <w:rFonts w:asciiTheme="majorHAnsi" w:hAnsiTheme="majorHAnsi" w:eastAsiaTheme="majorEastAsia" w:cstheme="majorBidi"/>
      <w:b/>
      <w:bCs/>
      <w:sz w:val="28"/>
      <w:szCs w:val="28"/>
    </w:rPr>
  </w:style>
  <w:style w:type="character" w:customStyle="1" w:styleId="35">
    <w:name w:val="标题 5 字符"/>
    <w:basedOn w:val="25"/>
    <w:link w:val="8"/>
    <w:semiHidden/>
    <w:qFormat/>
    <w:uiPriority w:val="9"/>
    <w:rPr>
      <w:rFonts w:eastAsia="宋体"/>
      <w:b/>
      <w:bCs/>
      <w:sz w:val="28"/>
      <w:szCs w:val="28"/>
    </w:rPr>
  </w:style>
  <w:style w:type="character" w:customStyle="1" w:styleId="36">
    <w:name w:val="标题 6 字符"/>
    <w:basedOn w:val="25"/>
    <w:link w:val="9"/>
    <w:semiHidden/>
    <w:qFormat/>
    <w:uiPriority w:val="9"/>
    <w:rPr>
      <w:rFonts w:asciiTheme="majorHAnsi" w:hAnsiTheme="majorHAnsi" w:eastAsiaTheme="majorEastAsia" w:cstheme="majorBidi"/>
      <w:b/>
      <w:bCs/>
      <w:sz w:val="24"/>
      <w:szCs w:val="24"/>
    </w:rPr>
  </w:style>
  <w:style w:type="character" w:customStyle="1" w:styleId="37">
    <w:name w:val="标题 7 字符"/>
    <w:basedOn w:val="25"/>
    <w:link w:val="10"/>
    <w:semiHidden/>
    <w:qFormat/>
    <w:uiPriority w:val="9"/>
    <w:rPr>
      <w:rFonts w:eastAsia="宋体"/>
      <w:b/>
      <w:bCs/>
      <w:sz w:val="24"/>
      <w:szCs w:val="24"/>
    </w:rPr>
  </w:style>
  <w:style w:type="character" w:customStyle="1" w:styleId="38">
    <w:name w:val="标题 8 字符"/>
    <w:basedOn w:val="25"/>
    <w:link w:val="11"/>
    <w:semiHidden/>
    <w:qFormat/>
    <w:uiPriority w:val="9"/>
    <w:rPr>
      <w:rFonts w:asciiTheme="majorHAnsi" w:hAnsiTheme="majorHAnsi" w:eastAsiaTheme="majorEastAsia" w:cstheme="majorBidi"/>
      <w:sz w:val="24"/>
      <w:szCs w:val="24"/>
    </w:rPr>
  </w:style>
  <w:style w:type="character" w:customStyle="1" w:styleId="39">
    <w:name w:val="标题 9 字符"/>
    <w:basedOn w:val="25"/>
    <w:link w:val="12"/>
    <w:semiHidden/>
    <w:qFormat/>
    <w:uiPriority w:val="9"/>
    <w:rPr>
      <w:rFonts w:asciiTheme="majorHAnsi" w:hAnsiTheme="majorHAnsi" w:eastAsiaTheme="majorEastAsia" w:cstheme="majorBidi"/>
      <w:szCs w:val="21"/>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3">
    <w:name w:val="Table Text"/>
    <w:basedOn w:val="1"/>
    <w:semiHidden/>
    <w:qFormat/>
    <w:uiPriority w:val="0"/>
    <w:rPr>
      <w:rFonts w:ascii="仿宋" w:hAnsi="仿宋" w:eastAsia="仿宋" w:cs="仿宋"/>
      <w:sz w:val="24"/>
      <w:szCs w:val="24"/>
      <w:lang w:eastAsia="en-US"/>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11"/>
    <w:basedOn w:val="25"/>
    <w:qFormat/>
    <w:uiPriority w:val="0"/>
    <w:rPr>
      <w:rFonts w:hint="eastAsia" w:ascii="仿宋_GB2312" w:eastAsia="仿宋_GB2312" w:cs="仿宋_GB2312"/>
      <w:color w:val="000000"/>
      <w:sz w:val="22"/>
      <w:szCs w:val="22"/>
      <w:u w:val="none"/>
    </w:rPr>
  </w:style>
  <w:style w:type="table" w:customStyle="1" w:styleId="46">
    <w:name w:val="网格型1"/>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修订1"/>
    <w:hidden/>
    <w:semiHidden/>
    <w:qFormat/>
    <w:uiPriority w:val="99"/>
    <w:rPr>
      <w:rFonts w:eastAsia="宋体" w:asciiTheme="minorHAnsi" w:hAnsiTheme="minorHAnsi" w:cstheme="minorBidi"/>
      <w:kern w:val="2"/>
      <w:sz w:val="28"/>
      <w:szCs w:val="22"/>
      <w:lang w:val="en-US" w:eastAsia="zh-CN" w:bidi="ar-SA"/>
    </w:rPr>
  </w:style>
  <w:style w:type="paragraph" w:customStyle="1" w:styleId="48">
    <w:name w:val="修订2"/>
    <w:hidden/>
    <w:unhideWhenUsed/>
    <w:qFormat/>
    <w:uiPriority w:val="99"/>
    <w:rPr>
      <w:rFonts w:eastAsia="宋体" w:asciiTheme="minorHAnsi" w:hAnsiTheme="minorHAnsi" w:cstheme="minorBidi"/>
      <w:kern w:val="2"/>
      <w:sz w:val="28"/>
      <w:szCs w:val="22"/>
      <w:lang w:val="en-US" w:eastAsia="zh-CN" w:bidi="ar-SA"/>
    </w:rPr>
  </w:style>
  <w:style w:type="character" w:customStyle="1" w:styleId="49">
    <w:name w:val="批注文字 字符"/>
    <w:basedOn w:val="25"/>
    <w:link w:val="13"/>
    <w:qFormat/>
    <w:uiPriority w:val="99"/>
    <w:rPr>
      <w:rFonts w:asciiTheme="minorHAnsi" w:hAnsiTheme="minorHAnsi" w:cstheme="minorBidi"/>
      <w:kern w:val="2"/>
      <w:sz w:val="28"/>
      <w:szCs w:val="22"/>
    </w:rPr>
  </w:style>
  <w:style w:type="character" w:customStyle="1" w:styleId="50">
    <w:name w:val="批注主题 字符"/>
    <w:basedOn w:val="49"/>
    <w:link w:val="22"/>
    <w:semiHidden/>
    <w:qFormat/>
    <w:uiPriority w:val="99"/>
    <w:rPr>
      <w:rFonts w:asciiTheme="minorHAnsi" w:hAnsiTheme="minorHAnsi" w:cstheme="minorBidi"/>
      <w:b/>
      <w:bCs/>
      <w:kern w:val="2"/>
      <w:sz w:val="28"/>
      <w:szCs w:val="22"/>
    </w:rPr>
  </w:style>
  <w:style w:type="character" w:customStyle="1" w:styleId="51">
    <w:name w:val="font21"/>
    <w:basedOn w:val="25"/>
    <w:qFormat/>
    <w:uiPriority w:val="0"/>
    <w:rPr>
      <w:rFonts w:hint="eastAsia" w:ascii="仿宋_GB2312" w:eastAsia="仿宋_GB2312" w:cs="仿宋_GB2312"/>
      <w:b/>
      <w:bCs/>
      <w:color w:val="000000"/>
      <w:sz w:val="21"/>
      <w:szCs w:val="21"/>
      <w:u w:val="none"/>
    </w:rPr>
  </w:style>
  <w:style w:type="character" w:customStyle="1" w:styleId="52">
    <w:name w:val="font31"/>
    <w:basedOn w:val="25"/>
    <w:qFormat/>
    <w:uiPriority w:val="0"/>
    <w:rPr>
      <w:rFonts w:hint="eastAsia" w:ascii="宋体" w:hAnsi="宋体" w:eastAsia="宋体" w:cs="宋体"/>
      <w:color w:val="000000"/>
      <w:sz w:val="21"/>
      <w:szCs w:val="21"/>
      <w:u w:val="none"/>
    </w:rPr>
  </w:style>
  <w:style w:type="character" w:customStyle="1" w:styleId="53">
    <w:name w:val="font51"/>
    <w:basedOn w:val="25"/>
    <w:qFormat/>
    <w:uiPriority w:val="0"/>
    <w:rPr>
      <w:rFonts w:hint="eastAsia" w:ascii="宋体" w:hAnsi="宋体" w:eastAsia="宋体" w:cs="宋体"/>
      <w:color w:val="000000"/>
      <w:sz w:val="21"/>
      <w:szCs w:val="21"/>
      <w:u w:val="none"/>
    </w:rPr>
  </w:style>
  <w:style w:type="paragraph" w:customStyle="1" w:styleId="54">
    <w:name w:val="修订3"/>
    <w:hidden/>
    <w:unhideWhenUsed/>
    <w:qFormat/>
    <w:uiPriority w:val="99"/>
    <w:rPr>
      <w:rFonts w:ascii="Times New Roman" w:hAnsi="Times New Roman" w:eastAsia="仿宋_GB2312" w:cstheme="minorBidi"/>
      <w:kern w:val="2"/>
      <w:sz w:val="30"/>
      <w:szCs w:val="30"/>
      <w:lang w:val="en-US" w:eastAsia="zh-CN" w:bidi="ar-SA"/>
    </w:rPr>
  </w:style>
  <w:style w:type="character" w:customStyle="1" w:styleId="55">
    <w:name w:val="页脚 字符"/>
    <w:basedOn w:val="25"/>
    <w:link w:val="16"/>
    <w:qFormat/>
    <w:uiPriority w:val="99"/>
    <w:rPr>
      <w:rFonts w:eastAsia="仿宋_GB2312" w:cstheme="minorBidi"/>
      <w:kern w:val="2"/>
      <w:sz w:val="18"/>
      <w:szCs w:val="30"/>
    </w:rPr>
  </w:style>
  <w:style w:type="paragraph" w:customStyle="1" w:styleId="56">
    <w:name w:val="修订4"/>
    <w:hidden/>
    <w:unhideWhenUsed/>
    <w:qFormat/>
    <w:uiPriority w:val="99"/>
    <w:rPr>
      <w:rFonts w:ascii="Times New Roman" w:hAnsi="Times New Roman" w:eastAsia="仿宋_GB2312" w:cstheme="minorBidi"/>
      <w:kern w:val="2"/>
      <w:sz w:val="30"/>
      <w:szCs w:val="30"/>
      <w:lang w:val="en-US" w:eastAsia="zh-CN" w:bidi="ar-SA"/>
    </w:rPr>
  </w:style>
  <w:style w:type="paragraph" w:customStyle="1" w:styleId="57">
    <w:name w:val="修订5"/>
    <w:hidden/>
    <w:unhideWhenUsed/>
    <w:qFormat/>
    <w:uiPriority w:val="99"/>
    <w:rPr>
      <w:rFonts w:ascii="Times New Roman" w:hAnsi="Times New Roman" w:eastAsia="仿宋_GB2312" w:cstheme="minorBidi"/>
      <w:kern w:val="2"/>
      <w:sz w:val="30"/>
      <w:szCs w:val="30"/>
      <w:lang w:val="en-US" w:eastAsia="zh-CN" w:bidi="ar-SA"/>
    </w:rPr>
  </w:style>
  <w:style w:type="character" w:customStyle="1" w:styleId="58">
    <w:name w:val="bjh-p"/>
    <w:basedOn w:val="25"/>
    <w:qFormat/>
    <w:uiPriority w:val="0"/>
  </w:style>
  <w:style w:type="character" w:customStyle="1" w:styleId="59">
    <w:name w:val="text_jayku"/>
    <w:basedOn w:val="25"/>
    <w:qFormat/>
    <w:uiPriority w:val="0"/>
  </w:style>
  <w:style w:type="paragraph" w:customStyle="1" w:styleId="60">
    <w:name w:val="修订6"/>
    <w:hidden/>
    <w:unhideWhenUsed/>
    <w:qFormat/>
    <w:uiPriority w:val="99"/>
    <w:rPr>
      <w:rFonts w:ascii="Times New Roman" w:hAnsi="Times New Roman" w:eastAsia="仿宋_GB2312" w:cstheme="minorBidi"/>
      <w:kern w:val="2"/>
      <w:sz w:val="30"/>
      <w:szCs w:val="30"/>
      <w:lang w:val="en-US" w:eastAsia="zh-CN" w:bidi="ar-SA"/>
    </w:rPr>
  </w:style>
  <w:style w:type="character" w:customStyle="1" w:styleId="61">
    <w:name w:val="未处理的提及1"/>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40037</Words>
  <Characters>41552</Characters>
  <Lines>428</Lines>
  <Paragraphs>120</Paragraphs>
  <TotalTime>10</TotalTime>
  <ScaleCrop>false</ScaleCrop>
  <LinksUpToDate>false</LinksUpToDate>
  <CharactersWithSpaces>45949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2024-05-20T18:37:00Z</dcterms:created>
  <dc:creator>PC</dc:creator>
  <cp:lastModifiedBy>Administrator</cp:lastModifiedBy>
  <cp:lastPrinted>2025-02-27T07:20:58Z</cp:lastPrinted>
  <dcterms:modified xsi:type="dcterms:W3CDTF">2025-02-27T07:29:49Z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621D438C62A04E3388C7E65AFDED5E73_13</vt:lpwstr>
  </property>
</Properties>
</file>