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283" w:leftChars="-135" w:right="-1504" w:rightChars="-716"/>
        <w:jc w:val="right"/>
        <w:textAlignment w:val="auto"/>
        <w:rPr>
          <w:rFonts w:hint="eastAsia" w:ascii="仿宋_GB2312" w:hAnsi="仿宋_GB2312" w:eastAsia="仿宋_GB2312" w:cs="仿宋_GB2312"/>
          <w:i w:val="0"/>
          <w:iCs w:val="0"/>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auto"/>
          <w:sz w:val="44"/>
          <w:szCs w:val="44"/>
        </w:rPr>
      </w:pPr>
      <w:r>
        <w:rPr>
          <w:rFonts w:hint="eastAsia" w:ascii="方正小标宋简体" w:hAnsi="方正小标宋简体" w:eastAsia="方正小标宋简体" w:cs="方正小标宋简体"/>
          <w:b w:val="0"/>
          <w:bCs w:val="0"/>
          <w:i w:val="0"/>
          <w:iCs w:val="0"/>
          <w:color w:val="auto"/>
          <w:sz w:val="44"/>
          <w:szCs w:val="44"/>
        </w:rPr>
        <w:t>新丰县“三旧”改造项目容积率确定及改造成本核算办法</w:t>
      </w:r>
    </w:p>
    <w:p>
      <w:pPr>
        <w:spacing w:line="360" w:lineRule="auto"/>
        <w:jc w:val="center"/>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eastAsia="zh-CN"/>
        </w:rPr>
        <w:t>送审</w:t>
      </w:r>
      <w:r>
        <w:rPr>
          <w:rFonts w:hint="eastAsia" w:ascii="仿宋_GB2312" w:hAnsi="仿宋_GB2312" w:eastAsia="仿宋_GB2312" w:cs="仿宋_GB2312"/>
          <w:i w:val="0"/>
          <w:iCs w:val="0"/>
          <w:color w:val="auto"/>
          <w:sz w:val="32"/>
          <w:szCs w:val="32"/>
        </w:rPr>
        <w:t>稿）</w:t>
      </w:r>
    </w:p>
    <w:p>
      <w:pPr>
        <w:spacing w:line="360" w:lineRule="auto"/>
        <w:jc w:val="center"/>
        <w:rPr>
          <w:rFonts w:hint="eastAsia" w:ascii="仿宋_GB2312" w:hAnsi="仿宋_GB2312" w:eastAsia="仿宋_GB2312" w:cs="仿宋_GB2312"/>
          <w:i w:val="0"/>
          <w:iCs w:val="0"/>
          <w:color w:val="auto"/>
          <w:sz w:val="32"/>
          <w:szCs w:val="32"/>
        </w:rPr>
      </w:pPr>
    </w:p>
    <w:p>
      <w:pPr>
        <w:pStyle w:val="2"/>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auto"/>
        </w:rPr>
      </w:pPr>
      <w:r>
        <w:rPr>
          <w:rFonts w:hint="eastAsia" w:ascii="黑体" w:hAnsi="黑体" w:eastAsia="黑体" w:cs="黑体"/>
          <w:b w:val="0"/>
          <w:bCs w:val="0"/>
          <w:i w:val="0"/>
          <w:iCs w:val="0"/>
          <w:color w:val="auto"/>
        </w:rPr>
        <w:t>第一章 总则</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第一条 编制依据</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为有序推进新丰县“三旧”改造工作，合理确定“三旧”改造项目的容积率，科学测算改造项目成本，根据《广东省人民政府关于深化改革加快推动“三旧”改造促进高质量发展的指导意见》（粤府〔2019〕71号）《广东省旧城镇旧厂房旧村庄改造管理办法》（广东省人民政府令第279号）等相关政策文件，制定本办法。</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第二条 适用范围</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 xml:space="preserve">本办法适用于新丰县行政区域内以拆除重建方式实施“三旧”改造项目的基础数据摸查，容积率确定，以及旧村庄、旧城镇改造在改造单元规划、项目改造方案编制和审核阶段进行改造成本核算。  </w:t>
      </w:r>
    </w:p>
    <w:p>
      <w:pPr>
        <w:pStyle w:val="2"/>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第二章 “三旧”改造项目容积率计算办法</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第三条 单元规划编制</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三旧”改造项目不涉及对国土空间详细规划进行调整的，其容积率根据已批准的国土空间详细规划确定。国土空间详细规划未覆盖的“三旧”改造项目，可由规划主管部门组织编制改造项目单元国土空间详细规划。“三旧”改造项目涉及调整国土空间详细规划的，可由规划主管部门组织编制“三旧”改造单元规划，参照国土空间详细规划修改程序批准后，覆盖原国土空间详细规划，确定改造地块容积率。</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说明：本条说明单元规划编制的要求。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依据：依据：《广东省人民政府关于深化改革加快推动“三旧”改造促进高质量发展的指导意见》（粤府〔2019〕71号）第三条：“‘三旧’改造涉及控制性详细规划未覆盖的区域，可由规划主管部门组织编制‘三旧’改造单元规划，参照控制性详细规划审批程序批准后，作为控制性详细规划实施。‘三旧’改造涉及控制性详细规划调整的，可参照控制性详细规划修改程序批准‘三旧’改造单元规划，覆盖原控制性详细规划。”</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第四条 容积率确定方式</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以拆除重建方式实施改造的旧村庄改造和旧城镇改造，在编制改造单元规划时以成本和收益基本平衡为原则，经规划论证后，合理确定项目容积率。</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具体计算公式为：</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Cambria Math" w:hAnsi="Cambria Math" w:eastAsia="仿宋_GB2312" w:cs="仿宋_GB2312"/>
          <w:b w:val="0"/>
          <w:i w:val="0"/>
          <w:color w:val="auto"/>
          <w:sz w:val="32"/>
          <w:szCs w:val="32"/>
        </w:rPr>
      </w:pPr>
      <m:oMathPara>
        <m:oMath>
          <m:r>
            <m:rPr>
              <m:sty m:val="p"/>
            </m:rPr>
            <w:rPr>
              <w:rFonts w:hint="eastAsia" w:ascii="Cambria Math" w:hAnsi="Cambria Math" w:eastAsia="仿宋_GB2312" w:cs="仿宋_GB2312"/>
              <w:color w:val="auto"/>
              <w:sz w:val="32"/>
              <w:szCs w:val="32"/>
            </w:rPr>
            <m:t>容积率=</m:t>
          </m:r>
          <m:f>
            <m:fPr>
              <m:ctrlPr>
                <w:rPr>
                  <w:rFonts w:hint="eastAsia" w:ascii="Cambria Math" w:hAnsi="Cambria Math" w:eastAsia="仿宋_GB2312" w:cs="仿宋_GB2312"/>
                  <w:i w:val="0"/>
                  <w:iCs w:val="0"/>
                  <w:color w:val="auto"/>
                  <w:sz w:val="32"/>
                  <w:szCs w:val="32"/>
                </w:rPr>
              </m:ctrlPr>
            </m:fPr>
            <m:num>
              <m:r>
                <m:rPr>
                  <m:sty m:val="p"/>
                </m:rPr>
                <w:rPr>
                  <w:rFonts w:hint="eastAsia" w:ascii="Cambria Math" w:hAnsi="Cambria Math" w:eastAsia="仿宋_GB2312" w:cs="仿宋_GB2312"/>
                  <w:color w:val="auto"/>
                  <w:sz w:val="32"/>
                  <w:szCs w:val="32"/>
                </w:rPr>
                <m:t>可推向市场的建筑面积+拆迁安置建筑面积</m:t>
              </m:r>
              <m:ctrlPr>
                <w:rPr>
                  <w:rFonts w:hint="eastAsia" w:ascii="Cambria Math" w:hAnsi="Cambria Math" w:eastAsia="仿宋_GB2312" w:cs="仿宋_GB2312"/>
                  <w:i w:val="0"/>
                  <w:iCs w:val="0"/>
                  <w:color w:val="auto"/>
                  <w:sz w:val="32"/>
                  <w:szCs w:val="32"/>
                </w:rPr>
              </m:ctrlPr>
            </m:num>
            <m:den>
              <m:r>
                <m:rPr>
                  <m:sty m:val="p"/>
                </m:rPr>
                <w:rPr>
                  <w:rFonts w:hint="eastAsia" w:ascii="Cambria Math" w:hAnsi="Cambria Math" w:eastAsia="仿宋_GB2312" w:cs="仿宋_GB2312"/>
                  <w:color w:val="auto"/>
                  <w:sz w:val="32"/>
                  <w:szCs w:val="32"/>
                </w:rPr>
                <m:t>净用地面积</m:t>
              </m:r>
              <m:ctrlPr>
                <w:rPr>
                  <w:rFonts w:hint="eastAsia" w:ascii="Cambria Math" w:hAnsi="Cambria Math" w:eastAsia="仿宋_GB2312" w:cs="仿宋_GB2312"/>
                  <w:i w:val="0"/>
                  <w:iCs w:val="0"/>
                  <w:color w:val="auto"/>
                  <w:sz w:val="32"/>
                  <w:szCs w:val="32"/>
                </w:rPr>
              </m:ctrlPr>
            </m:den>
          </m:f>
          <m:r>
            <m:rPr>
              <m:sty m:val="p"/>
            </m:rPr>
            <w:rPr>
              <w:rFonts w:hint="eastAsia" w:ascii="Cambria Math" w:hAnsi="Cambria Math" w:eastAsia="仿宋_GB2312" w:cs="仿宋_GB2312"/>
              <w:color w:val="auto"/>
              <w:sz w:val="32"/>
              <w:szCs w:val="32"/>
            </w:rPr>
            <m:t>；</m:t>
          </m:r>
        </m:oMath>
      </m:oMathPara>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Cambria Math" w:hAnsi="Cambria Math" w:eastAsia="仿宋_GB2312" w:cs="仿宋_GB2312"/>
          <w:b w:val="0"/>
          <w:i w:val="0"/>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eastAsia" w:ascii="Cambria Math" w:hAnsi="Cambria Math" w:eastAsia="仿宋_GB2312" w:cs="仿宋_GB2312"/>
          <w:i w:val="0"/>
          <w:iCs w:val="0"/>
          <w:color w:val="auto"/>
          <w:sz w:val="32"/>
          <w:szCs w:val="32"/>
        </w:rPr>
      </w:pPr>
      <m:oMathPara>
        <m:oMath>
          <m:r>
            <m:rPr>
              <m:sty m:val="p"/>
            </m:rPr>
            <w:rPr>
              <w:rFonts w:hint="eastAsia" w:ascii="Cambria Math" w:hAnsi="Cambria Math" w:eastAsia="仿宋_GB2312" w:cs="仿宋_GB2312"/>
              <w:color w:val="auto"/>
              <w:sz w:val="32"/>
              <w:szCs w:val="32"/>
            </w:rPr>
            <m:t>可推向市场的建筑面积=</m:t>
          </m:r>
          <m:f>
            <m:fPr>
              <m:ctrlPr>
                <w:rPr>
                  <w:rFonts w:hint="eastAsia" w:ascii="Cambria Math" w:hAnsi="Cambria Math" w:eastAsia="仿宋_GB2312" w:cs="仿宋_GB2312"/>
                  <w:i w:val="0"/>
                  <w:iCs w:val="0"/>
                  <w:color w:val="auto"/>
                  <w:sz w:val="32"/>
                  <w:szCs w:val="32"/>
                </w:rPr>
              </m:ctrlPr>
            </m:fPr>
            <m:num>
              <m:r>
                <m:rPr>
                  <m:sty m:val="p"/>
                </m:rPr>
                <w:rPr>
                  <w:rFonts w:hint="eastAsia" w:ascii="Cambria Math" w:hAnsi="Cambria Math" w:eastAsia="仿宋_GB2312" w:cs="仿宋_GB2312"/>
                  <w:color w:val="auto"/>
                  <w:sz w:val="32"/>
                  <w:szCs w:val="32"/>
                </w:rPr>
                <m:t>改造成本</m:t>
              </m:r>
              <m:ctrlPr>
                <w:rPr>
                  <w:rFonts w:hint="eastAsia" w:ascii="Cambria Math" w:hAnsi="Cambria Math" w:eastAsia="仿宋_GB2312" w:cs="仿宋_GB2312"/>
                  <w:i w:val="0"/>
                  <w:iCs w:val="0"/>
                  <w:color w:val="auto"/>
                  <w:sz w:val="32"/>
                  <w:szCs w:val="32"/>
                </w:rPr>
              </m:ctrlPr>
            </m:num>
            <m:den>
              <m:r>
                <m:rPr>
                  <m:sty m:val="p"/>
                </m:rPr>
                <w:rPr>
                  <w:rFonts w:hint="eastAsia" w:ascii="Cambria Math" w:hAnsi="Cambria Math" w:eastAsia="仿宋_GB2312" w:cs="仿宋_GB2312"/>
                  <w:color w:val="auto"/>
                  <w:sz w:val="32"/>
                  <w:szCs w:val="32"/>
                </w:rPr>
                <m:t>改造地块楼面地价</m:t>
              </m:r>
              <m:ctrlPr>
                <w:rPr>
                  <w:rFonts w:hint="eastAsia" w:ascii="Cambria Math" w:hAnsi="Cambria Math" w:eastAsia="仿宋_GB2312" w:cs="仿宋_GB2312"/>
                  <w:i w:val="0"/>
                  <w:iCs w:val="0"/>
                  <w:color w:val="auto"/>
                  <w:sz w:val="32"/>
                  <w:szCs w:val="32"/>
                </w:rPr>
              </m:ctrlPr>
            </m:den>
          </m:f>
        </m:oMath>
      </m:oMathPara>
    </w:p>
    <w:p>
      <w:pPr>
        <w:pageBreakBefore w:val="0"/>
        <w:kinsoku/>
        <w:wordWrap/>
        <w:overflowPunct/>
        <w:topLinePunct w:val="0"/>
        <w:autoSpaceDE/>
        <w:autoSpaceDN/>
        <w:bidi w:val="0"/>
        <w:adjustRightInd/>
        <w:snapToGrid/>
        <w:spacing w:line="560" w:lineRule="exact"/>
        <w:textAlignment w:val="auto"/>
        <w:rPr>
          <w:rFonts w:hint="eastAsia" w:ascii="Cambria Math" w:hAnsi="Cambria Math" w:eastAsia="仿宋_GB2312" w:cs="仿宋_GB2312"/>
          <w:i w:val="0"/>
          <w:iCs w:val="0"/>
          <w:color w:val="auto"/>
          <w:sz w:val="32"/>
          <w:szCs w:val="32"/>
        </w:rPr>
      </w:pP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改造地块楼面地价，是指评估机构对拟出让地块确定的评估楼面地价；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拆迁安置建筑面积，是指按照本办法核定的安置建筑面积；</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改造成本，是指以公示后的基础数据调查成果和拆迁安置补偿方案为基础，按照本办法估算改造所需费用。</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旧城镇改造安置补偿标准按照国有土地上房屋征收有关政策和标准确定。</w:t>
      </w:r>
    </w:p>
    <w:tbl>
      <w:tblPr>
        <w:tblStyle w:val="1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b/>
                <w:bCs/>
                <w:i w:val="0"/>
                <w:iCs w:val="0"/>
                <w:color w:val="auto"/>
                <w:sz w:val="32"/>
                <w:szCs w:val="32"/>
              </w:rPr>
              <w:t>结合新丰县实际情况，编制单元规划阶段，改造地块楼面地价有以下两种方式供选择，具体选哪种方式需由县三旧工作领导小组、县三旧办、规划部门进一步讨论确定。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第一种：“一个项目一个评估”法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改造地块楼面地价采用“一个项目一个评估”的方法，由县“三旧”办通过摇珠方式确定有资质的评估机构进行评估，作为测算容积率的依据。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tcPr>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第二种：外部参考法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单元规划编制阶段，改造地块楼面地价参考项目周边近两年出让土地的楼面地价，结合不同改造规模分别设置不同系数确定，即</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改造地块楼面地价=近期周边出让土地的楼面地价均值*修正系数*折扣系数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修正系数：由县自然资源主管部门根据项目的区位因素确定修正系数，取值为0到1之间。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折扣系数按以下方式确定：</w:t>
            </w:r>
          </w:p>
          <w:p>
            <w:pPr>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a.用地面积＜2000平方米，折扣系数=1；</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 xml:space="preserve">          b.用地面积≥2000平方米，＜1公顷，折扣系数=0.8；</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 xml:space="preserve">          c.用地面积≥1公顷，折扣系数=0.7。</w:t>
            </w:r>
          </w:p>
        </w:tc>
      </w:tr>
    </w:tbl>
    <w:p>
      <w:pPr>
        <w:pageBreakBefore w:val="0"/>
        <w:kinsoku/>
        <w:wordWrap/>
        <w:overflowPunct/>
        <w:topLinePunct w:val="0"/>
        <w:autoSpaceDE/>
        <w:autoSpaceDN/>
        <w:bidi w:val="0"/>
        <w:adjustRightInd/>
        <w:snapToGrid/>
        <w:spacing w:line="560" w:lineRule="exact"/>
        <w:ind w:firstLine="485"/>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关于改造地块楼面地价，目前在珠三角地区主要有两种方式确定：</w:t>
      </w:r>
    </w:p>
    <w:p>
      <w:pPr>
        <w:pageBreakBefore w:val="0"/>
        <w:kinsoku/>
        <w:wordWrap/>
        <w:overflowPunct/>
        <w:topLinePunct w:val="0"/>
        <w:autoSpaceDE/>
        <w:autoSpaceDN/>
        <w:bidi w:val="0"/>
        <w:adjustRightInd/>
        <w:snapToGrid/>
        <w:spacing w:line="560" w:lineRule="exact"/>
        <w:ind w:firstLine="485"/>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第一种方式是采用“一个项目一个评估”的方法，目前广州采取这种方式。具体的操作方法是先提供一个预估容积率给摇珠确定的评估公司，评估公司得出初步评估结果后，看能否实现经济平衡，如果不能，需重新提供容积率值进行评估，经过多轮评估，直至找到容积率和楼面地价的平衡点。</w:t>
      </w:r>
    </w:p>
    <w:p>
      <w:pPr>
        <w:pageBreakBefore w:val="0"/>
        <w:kinsoku/>
        <w:wordWrap/>
        <w:overflowPunct/>
        <w:topLinePunct w:val="0"/>
        <w:autoSpaceDE/>
        <w:autoSpaceDN/>
        <w:bidi w:val="0"/>
        <w:adjustRightInd/>
        <w:snapToGrid/>
        <w:spacing w:line="560" w:lineRule="exact"/>
        <w:ind w:firstLine="485"/>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第二种方式是以“三旧”改造区片市场评估价为基础，乘以修正系数后确定改造地块楼面地价。东莞、中山等城市采用这种方式，要求行政区内改造区域控规全覆盖，并聘请第三方专业评估确定的“三旧”改造区片市场评估价。鉴于新丰县目前控规覆盖度不高，不适用这种方式。</w:t>
      </w:r>
    </w:p>
    <w:p>
      <w:pPr>
        <w:pageBreakBefore w:val="0"/>
        <w:kinsoku/>
        <w:wordWrap/>
        <w:overflowPunct/>
        <w:topLinePunct w:val="0"/>
        <w:autoSpaceDE/>
        <w:autoSpaceDN/>
        <w:bidi w:val="0"/>
        <w:adjustRightInd/>
        <w:snapToGrid/>
        <w:spacing w:line="560" w:lineRule="exact"/>
        <w:ind w:firstLine="646" w:firstLineChars="202"/>
        <w:jc w:val="center"/>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2.新丰县近年公开出让住宅用地摘录</w:t>
      </w:r>
    </w:p>
    <w:tbl>
      <w:tblPr>
        <w:tblStyle w:val="15"/>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022"/>
        <w:gridCol w:w="862"/>
        <w:gridCol w:w="1121"/>
        <w:gridCol w:w="1216"/>
        <w:gridCol w:w="1119"/>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地块位置</w:t>
            </w:r>
          </w:p>
        </w:tc>
        <w:tc>
          <w:tcPr>
            <w:tcW w:w="102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用地性质</w:t>
            </w:r>
          </w:p>
        </w:tc>
        <w:tc>
          <w:tcPr>
            <w:tcW w:w="86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用地面积/㎡</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容积率</w:t>
            </w:r>
          </w:p>
        </w:tc>
        <w:tc>
          <w:tcPr>
            <w:tcW w:w="1216"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成交时间</w:t>
            </w:r>
          </w:p>
        </w:tc>
        <w:tc>
          <w:tcPr>
            <w:tcW w:w="1119"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成交价/万元</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成交楼面价</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受让单位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丰城街道城西村沙江桥北面地块</w:t>
            </w:r>
          </w:p>
        </w:tc>
        <w:tc>
          <w:tcPr>
            <w:tcW w:w="102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普通商品住房用地</w:t>
            </w:r>
          </w:p>
        </w:tc>
        <w:tc>
          <w:tcPr>
            <w:tcW w:w="86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8453.97</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大于1并且小于或等于3</w:t>
            </w:r>
          </w:p>
        </w:tc>
        <w:tc>
          <w:tcPr>
            <w:tcW w:w="1216"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2020-11-03</w:t>
            </w:r>
          </w:p>
        </w:tc>
        <w:tc>
          <w:tcPr>
            <w:tcW w:w="1119"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3600</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1419.45</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新丰县宇宏房地产发展有限公司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新丰县丰城街道丰城大道东82号(花厂、交警大队家属楼及周边地块改造项目)</w:t>
            </w:r>
          </w:p>
        </w:tc>
        <w:tc>
          <w:tcPr>
            <w:tcW w:w="102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城镇住宅用地</w:t>
            </w:r>
          </w:p>
        </w:tc>
        <w:tc>
          <w:tcPr>
            <w:tcW w:w="86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16285.45</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大于1并且小于或等于4</w:t>
            </w:r>
          </w:p>
        </w:tc>
        <w:tc>
          <w:tcPr>
            <w:tcW w:w="1216"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2020-03-24</w:t>
            </w:r>
          </w:p>
        </w:tc>
        <w:tc>
          <w:tcPr>
            <w:tcW w:w="1119"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7947</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1219.95</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新丰县天御房地产开发有限公司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丰城街道紫城村碧桂园旁地块</w:t>
            </w:r>
          </w:p>
        </w:tc>
        <w:tc>
          <w:tcPr>
            <w:tcW w:w="102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住宅用地</w:t>
            </w:r>
          </w:p>
        </w:tc>
        <w:tc>
          <w:tcPr>
            <w:tcW w:w="86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51058.95</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大于1并且小于或等于2.8</w:t>
            </w:r>
          </w:p>
        </w:tc>
        <w:tc>
          <w:tcPr>
            <w:tcW w:w="1216"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2018-12-03</w:t>
            </w:r>
          </w:p>
        </w:tc>
        <w:tc>
          <w:tcPr>
            <w:tcW w:w="1119"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19800</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1384.95</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新丰县卓兴房地产开发有限公司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丰城街道农技中心地块</w:t>
            </w:r>
          </w:p>
        </w:tc>
        <w:tc>
          <w:tcPr>
            <w:tcW w:w="102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住宅用地</w:t>
            </w:r>
          </w:p>
        </w:tc>
        <w:tc>
          <w:tcPr>
            <w:tcW w:w="862"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1427.80</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大于1并且小于或等于5.09</w:t>
            </w:r>
          </w:p>
        </w:tc>
        <w:tc>
          <w:tcPr>
            <w:tcW w:w="1216"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2018-07-06</w:t>
            </w:r>
          </w:p>
        </w:tc>
        <w:tc>
          <w:tcPr>
            <w:tcW w:w="1119"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1188</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1634.67</w:t>
            </w:r>
          </w:p>
        </w:tc>
        <w:tc>
          <w:tcPr>
            <w:tcW w:w="112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郭松根</w:t>
            </w:r>
          </w:p>
        </w:tc>
      </w:tr>
    </w:tbl>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数据来源：CREIS中指数据房地产数据信息系统</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第五条 容积率校核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综合考虑城市规划的技术因素，如技术规范、环境容量、基础设施承载能力、城市景观等因素，对计算得出的容积率进行技术校核，由于技术因素必须降低容积率的，应服从城市规划的需要，降低容积率。</w:t>
      </w:r>
    </w:p>
    <w:p>
      <w:pPr>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说明：本条说明容积率的校核，明确容积率需要以城市规划为前提。</w:t>
      </w:r>
    </w:p>
    <w:p>
      <w:pPr>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东莞市城乡规划局关于印发&lt;关于“三旧”改造项目确定容积率和实施“拆三留一”等问题的意见&gt;的通知》（东规发〔2010〕52号）“容积率的确定：……要综合考虑城市规划的技术因素，如技术规范、环境容量、基础设施承载能力、城市景观等因素，对成本容积率的可行性进行技术校核，由于技术因素必须降低容积率的，应服从城市规划的需要，降低容积率的值。……”</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第六条 容积率限制</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改造项目的规划容积率上限，根据改造地块规模（扣除城市道路后的净用地），实行以下分类确定。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（一）旧厂房改造的项目</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1．“工改居”类（改造后以居住为主导功能的用地）：改造地块容积率上限原则上不超过3.5。</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2．“工改商”类（改造后以商服为主导功能的用地）：改造地块容积率上限原则上不超过5.5。</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3．改造后是商业、办公和居住等综合用途的用地，根据各自用地性质面积比例分别计算。</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4．“工改工”类（改造后以工业为主导功能的用地），项目规划容积率原则上不得低于1.0。</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（二）旧城镇、旧村庄改造的项目</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1．改造后为居住用地的：改造地块容积率上限原则上不超过4.5。</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2．改造后为商业、办公用地的：改造地块容积率上限原则上不超过5.5。</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3．改造后为商业、办公和居住综合用地的，根据各自用地性质面积比例分别计算。</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lang w:eastAsia="zh-CN"/>
        </w:rPr>
        <w:t>说明：</w:t>
      </w:r>
      <w:r>
        <w:rPr>
          <w:rFonts w:hint="eastAsia" w:ascii="仿宋_GB2312" w:hAnsi="仿宋_GB2312" w:eastAsia="仿宋_GB2312" w:cs="仿宋_GB2312"/>
          <w:i w:val="0"/>
          <w:iCs w:val="0"/>
          <w:color w:val="auto"/>
          <w:sz w:val="32"/>
          <w:szCs w:val="32"/>
        </w:rPr>
        <w:t>综合参考湛江、肇庆、阳江、揭阳等地“三旧”改造的审批经验，确定项目规划容积率上限。</w:t>
      </w:r>
    </w:p>
    <w:tbl>
      <w:tblPr>
        <w:tblStyle w:val="15"/>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11"/>
        <w:gridCol w:w="1611"/>
        <w:gridCol w:w="1611"/>
        <w:gridCol w:w="161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593" w:type="dxa"/>
            <w:gridSpan w:val="2"/>
            <w:vMerge w:val="restart"/>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类型</w:t>
            </w:r>
          </w:p>
        </w:tc>
        <w:tc>
          <w:tcPr>
            <w:tcW w:w="6444" w:type="dxa"/>
            <w:gridSpan w:val="4"/>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其他地区参考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593" w:type="dxa"/>
            <w:gridSpan w:val="2"/>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肇庆</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湛江</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阳江</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82" w:type="dxa"/>
            <w:vMerge w:val="restart"/>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工改类</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工改居</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公顷，R≤3.5；</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1 ＜m≤5 公顷，R≤3.2；</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m＞5 公顷, R≤ 3.0</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公顷，R≤3.8；</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1 ＜m≤5 公顷，R≤3.5；</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m＞5 公顷, R≤ 3.2</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R≤2.8</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82"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工改商</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公顷，R≤5.5；</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m＞1 公顷, R≤ 5.0</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公顷，R≤6.0；</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m＞1 公顷, R≤ 5.5</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≤3.0</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82"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工改工</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调整为一类工业用地的，1.0≤R≤2.5</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调整为一类工业用地的，1.0≤R≤2.5</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≤2.0</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82"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工业用地改造后是商业、办公和居住等综合用途的用地</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按各自用地性质面积比例分别计算</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按各自用地性质面积比例分别计算</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82" w:type="dxa"/>
            <w:vMerge w:val="restart"/>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旧村、旧城类改造</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改造后为居住用地</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公顷，R≤4.2；</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1 ＜m≤5 公顷，R≤3.8；</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m＞5 公顷, R≤ 3.5</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公顷，R≤4.2；</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1 ＜m≤5 公顷，R≤4.0；</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m＞5 公顷, R≤ 3.8</w:t>
            </w:r>
          </w:p>
        </w:tc>
        <w:tc>
          <w:tcPr>
            <w:tcW w:w="1611" w:type="dxa"/>
            <w:vMerge w:val="restart"/>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旧村庄改造项目容积率≤3.6；</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属原土地权利人自行改造的旧城镇改造项目，容积率≤3.3</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≤5.3，超过5.3的，以综合整治方式进行改造为主。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82"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改造后为商业、办公用地</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公顷，R≤6.5；</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 R≤ 6.0</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公顷，R≤8.0；</w:t>
            </w:r>
          </w:p>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m＞1 公顷, R≤ 7.0</w:t>
            </w:r>
          </w:p>
        </w:tc>
        <w:tc>
          <w:tcPr>
            <w:tcW w:w="1611"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982"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改造后为商业、办公和居住综合用地</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按各自用地性质面积比例分别计算</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按各自用地性质面积比例分别计算</w:t>
            </w:r>
          </w:p>
        </w:tc>
        <w:tc>
          <w:tcPr>
            <w:tcW w:w="1611" w:type="dxa"/>
            <w:vMerge w:val="continue"/>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highlight w:val="lightGray"/>
              </w:rPr>
            </w:pPr>
            <w:r>
              <w:rPr>
                <w:rFonts w:hint="eastAsia" w:ascii="仿宋_GB2312" w:hAnsi="仿宋_GB2312" w:eastAsia="仿宋_GB2312" w:cs="仿宋_GB2312"/>
                <w:i w:val="0"/>
                <w:i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593" w:type="dxa"/>
            <w:gridSpan w:val="2"/>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备注</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来源：肇府函〔2016〕580号</w:t>
            </w:r>
          </w:p>
        </w:tc>
        <w:tc>
          <w:tcPr>
            <w:tcW w:w="1611" w:type="dxa"/>
            <w:shd w:val="clear" w:color="auto" w:fill="auto"/>
            <w:vAlign w:val="center"/>
          </w:tcPr>
          <w:p>
            <w:pPr>
              <w:pStyle w:val="1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来源：湛府规〔2019〕9 号</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《阳江市人民政府关于深入推进“三旧”改造工作的实施细则》(征求 意见稿）》2020.1.22</w:t>
            </w:r>
          </w:p>
        </w:tc>
        <w:tc>
          <w:tcPr>
            <w:tcW w:w="1611" w:type="dxa"/>
            <w:shd w:val="clear" w:color="auto" w:fill="auto"/>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《关于深入推进城市更新工作的实施细则（征求意见稿）》2018.11.2</w:t>
            </w:r>
          </w:p>
        </w:tc>
      </w:tr>
    </w:tbl>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第七条 容积率审批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改造项目容积率原则按第四条、第七条规定执行，对于确需突破容积率限制的，采取“一事一议”的方式按国土空间详细规划调整流程审批。</w:t>
      </w:r>
    </w:p>
    <w:p>
      <w:pPr>
        <w:pStyle w:val="2"/>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第三章 旧村庄全面改造成本核算</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第八条 改造成本组成</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旧村庄改造的成本主要包括前期费用、拆迁临迁费用、补偿复建费用、土地成本、不可预见费等。</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前款所称前期费用是指包含基础数据调查费、改造单元国土空间详细规划编制费、改造实施方案编制费、改造地块楼面地价评估费、土地勘测定界费等在内的前期工作费用。拆迁费用是指包含房屋拆运费、临时安置费、搬家补助费、电话、有线电视等设施迁移费、历史建筑迁建或者修缮费等在内的费用。不可预见费是指安置补偿过程中实际发生但又未纳入改造成本部分的费用，包括拆迁补偿安置协议签订、拆迁奖励、风险评估、其他专题评估、集体经济物业租赁合同提前解约、停业损失补偿等未计入改造成本的费用。</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采用自主改造和合作改造模式的旧村庄全面改造项目，改造地块协议出让土地使用权评估测算的土地成本可纳入旧村庄全面改造成本。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说明：本条说明改造成本的组成。</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依据：《广东省旧城镇旧厂房旧村庄改造管理办法》（广东省人民政府令第279号）第二十三条：“‘三旧’改造项目供地应当以单宗或者区片市场评估价为基础，综合考虑改造主体承担的改造成本后按照程序确定政府应收地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‘三旧’改造成本包括前期费用、拆除临迁费用、补偿安置费用、搬迁奖励以及公共设施建设支出等实际发生的费用。”</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第九条 房屋拆运费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现状房屋拆运费按不高于每平方米60元的标准核算，包括含房屋拆卸、余泥排放及办理各种手续的行政收费、手续费。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说明：本条说明房屋拆运费的标准</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四条：现状房屋拆运费用按不高于每平方米60元的标准核算（包含房屋拆卸、余泥清运、余泥排放及办理各种手续的行政收费、手续费）……”</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第十条 搬家补助费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搬家补助费按24元/㎡的标准核算，包含屋内电话、有线电视、管道煤气、宽带网等设施需迁移的迁移费。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1.根据新丰县人民政府办公室2019年11月18日印发的《新丰县花厂、交警大队家属楼及周边地块改造项目拆迁征收补偿安置方案》十二（一）每户一次性补偿二次搬家费共2000元，...。</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根据《新丰县丰江新城城南片区房屋征收补偿安置方案》（新府〔2017〕26号）“（六）搬迁补助费：1．住宅房屋搬迁补助费。被征收人在规定征收期限内搬迁，选择货币补偿的，按被征收房屋的套内面积以12元/㎡的标准发放一次性搬家补助费，低于1000元的，按1000元计发。选择产权调换需二次搬迁，按产权调换房屋的套内面积，以24元/㎡的标准一次性发放搬家补助费。2．被征收房屋需依法实施强制执行的不给予搬迁补助费。”</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第十一条 户数认定标准</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世居祖屋一栋计为一户，村民符合以下条件之一的可认定为一户：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（一）夫妻与未达到法定婚龄子女同住的为一户。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（二）有兄弟姐妹的，其中一人应与其父母为一户，其余兄弟姐妹达到法定婚龄或结婚后可申请分户。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户数认定经村集体经济组织与镇（街）确认后可用于搬迁补偿成本核算。</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第十二条 历史建筑保护费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不可移动文物、历史建筑、传统风貌建筑保护费用（迁建或修缮）根据具体的保护方案，具体费用水平以第三方评估公司评估结果为准，计入改造成本。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说明：本条说明历史建筑保护费用纳入改造成本的规定。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五条：“不可移动文物、历史建筑、传统风貌建筑保护费用（迁建或修缮）根据具体的保护方案确定，并计入改造成本。”</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第十三条 安置住宅复建总量核定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在不突破规划建筑总量的情况下，旧村庄改造范围内安置住宅复建总量按照以下两种方式进行核定，同一项目只可以采用其中一种方式核算安置住宅复建总量。经有关政府部门认定为违法（章）建筑的，原则上不计入改造成本。住宅复建总量不含住宅公建配套建筑面积。</w:t>
      </w:r>
    </w:p>
    <w:p>
      <w:pPr>
        <w:pageBreakBefore w:val="0"/>
        <w:numPr>
          <w:ilvl w:val="0"/>
          <w:numId w:val="1"/>
        </w:numPr>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住宅复建总量以“栋”为依据，每栋按照300平方米认定。现状房屋建筑面积超过300平方米的，超过部分不予核定复建量，按900元/㎡补偿建筑成本并计入改造成本。</w:t>
      </w:r>
    </w:p>
    <w:p>
      <w:pPr>
        <w:pageBreakBefore w:val="0"/>
        <w:numPr>
          <w:ilvl w:val="0"/>
          <w:numId w:val="1"/>
        </w:numPr>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住宅复建总量以住宅建筑基底面积的3倍进行核定，住宅建筑基底面积主要指建筑物接触地面的自然层建筑外墙或结构外围水平投影面积，不包含住宅房屋建筑周边硬化地面、构筑物、其他附着物等。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（1）具备土地权属证明或房屋产权证明的住宅，按证载用地面积核算。</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（2）无土地权属证明、房屋产权证明，但是住宅在2009年12月31日前建设的，可按房屋测绘调查的实测建筑基地面积核定住宅用地面积。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（3）无土地权属证明、房屋产权证明，可出具农村建房许可证、历史建房批准文件或符合“一户一宅”的，可按房屋测绘调查的实测建筑基地面积核定住宅用地面积。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（4）无土地权属证明、房屋产权证明、农村建房许可证、历史建房批准文件，且房屋已经倒塌的，村民应当持户口</w:t>
      </w:r>
      <w:r>
        <w:rPr>
          <w:rFonts w:hint="eastAsia" w:ascii="仿宋_GB2312" w:hAnsi="仿宋_GB2312" w:eastAsia="仿宋_GB2312" w:cs="仿宋_GB2312"/>
          <w:i w:val="0"/>
          <w:iCs w:val="0"/>
          <w:color w:val="auto"/>
          <w:sz w:val="32"/>
          <w:szCs w:val="32"/>
          <w:lang w:val="en-US" w:eastAsia="zh-CN"/>
        </w:rPr>
        <w:t>簿</w:t>
      </w:r>
      <w:r>
        <w:rPr>
          <w:rFonts w:hint="eastAsia" w:ascii="仿宋_GB2312" w:hAnsi="仿宋_GB2312" w:eastAsia="仿宋_GB2312" w:cs="仿宋_GB2312"/>
          <w:i w:val="0"/>
          <w:iCs w:val="0"/>
          <w:color w:val="auto"/>
          <w:sz w:val="32"/>
          <w:szCs w:val="32"/>
        </w:rPr>
        <w:t>、家庭成员身份证复印件、农村历史建房用地认定申请表、用地范围地形图向所属村集体经济组织申请历史用地认定。农村集体经济组织收到材料后组织人员审核申请人材料是否属实、申请人是否符合“一户一宅”规定、是否征求用地周边相邻权利人意见，村委会审核通过后，应当将申请和核查情况在村显要位置进行不少于5天的公示，公示期无异议后报镇人民政府和自然资源主管部门进行审查，审查后在《农村历史建房用地认定审查表》上签署意见。《农村历史建房用地认定审查表》签署意见同意的，可以作为成本核算的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（5）村民参与旧村庄改造应当与集体经济组织签订退还原有宅基地协议书，并承诺不再申请宅基地。</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lang w:eastAsia="zh-CN"/>
        </w:rPr>
        <w:t>说明：</w:t>
      </w:r>
      <w:r>
        <w:rPr>
          <w:rFonts w:hint="eastAsia" w:ascii="仿宋_GB2312" w:hAnsi="仿宋_GB2312" w:eastAsia="仿宋_GB2312" w:cs="仿宋_GB2312"/>
          <w:i w:val="0"/>
          <w:iCs w:val="0"/>
          <w:color w:val="auto"/>
          <w:sz w:val="32"/>
          <w:szCs w:val="32"/>
        </w:rPr>
        <w:t>1.根据新丰县人民政府办公室2019年11月18日印发的《新丰县花厂、交警大队家属楼及周边地块改造项目拆迁征收补偿安置方案》“四、房屋被征收人可以选择补偿安置，......选择房屋补偿安置的，在改造范围的指定楼号内，按套内建筑面积1:1选择房屋，......十四、对认定为违法建筑的，不予补偿。由于历史原因形成的附属建筑及房改房配套使用建筑（柴房、鸡栏、单车棚等），考虑维护成本等，砖瓦结构按200元/㎡，混合结构按300元/㎡补偿。”</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根据《新丰县丰江新城城南片区房屋征收补偿安置方案》（新府〔2017〕26号）“1．被征收人选择产权调换的，实行高层公寓式住宅房屋，不再安排宅基地。选择调换的安置房与被征收房屋原则上按套内面积1:1调换，……被征收房屋为四层以上（含四层）建筑且其建筑面积超过360平方米的，因居住需要，经调查核实可申请增加安置房面积，但最多只能增加多一套套内面积不超过90平方米的安置房。”</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3.根据《新丰县农村宅基地审批和农房建设管理办事指南（试行版）》（新农〔2020〕62号）“四、用地建房标准 严格控制宅基地面积不超过150平方米，层数不超过3层，......农村住房建筑面积原则上控制在300平方米以内，家庭人口多的，按照35平方米/人控制.....。”</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第十四条 安置复建改造成本的核定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合法住宅建筑与2009年12月31日前建成经村集体经济组织批准的住宅建筑的总量不超过核定复建总量的，准予按照按1:1复建，并计入改造成本。</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第十五条 集体物业复建总量核定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旧村庄改造范围内集体经济物业复建总量以现状建筑面积按1:1核定，对于认定为违法（章）建筑的，不予核定。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说明：第十四条和第十五条说明住宅和集体物业复建总量的核定标准。</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参考:《广州市住房和城乡建设局关于印发广州市旧村庄全面改造成本核算办法的通知》（穗建规字〔2019〕13号）第七条和第八条。</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第十六条 安置费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临时安置费标准按每户每月800元执行，并按3年核算临迁费纳入改造成本。</w:t>
      </w:r>
    </w:p>
    <w:p>
      <w:pPr>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根据新丰县人民政府办公室2019年11月18日印发的《新丰县花厂、交警大队家属楼及周边地块改造项目拆迁征收补偿安置方案》“十一、征收期间给予住户房租补助，每户每月800元，...租房补偿至通知回迁交房日后三个月止。”</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根据《新丰县丰江新城城南片区房屋征收补偿安置方案》（新府〔2017〕26号）“（四）2．选择房屋产权调换，被征收人自行安排住处的，临时安置费按每户每月800元标准计发。临时安置费的发放期限自被征收房屋搬迁交付给征收单位时起至安置房交付后三个月止。”</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第十七条 公配</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旧村庄改造范围内规划的市政配套及公共服务设施应移交政府及相关职能部门，建设成本按评估的结果纳入改造成本。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说明：本条说明市政配套及公共服务设施建设成本纳入改造成本。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十一条“旧村庄改造范围内规划的市政配套及公共服务设施应无偿移交政府及相关职能部门，设施用地应当与融资用地同步转为国有。其中非经营性的设施建设投资均计入改造成本，并优先配套建设。”</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第十八条 复建成本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复建成本的计算应根据复建住宅、集体经济物业的建设等级，严格按照《旧村庄全面改造成本构成一览表》（附件）核定的建设单价标准执行，建设单价为韶关市建设工程造价管理部门公布的年度参考造价。</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说明:本条说明复建成本测算的依据。</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第十九条 不可预见费</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不可预见费按《旧村庄全面改造成本构成一览表》前期费用、拆迁费用、复建费用与其他费用总和的5%，用于安置补偿过程中实际发生但又未纳入改造成本部分的费用，包括拆迁补偿安置协议签订、拆迁奖励、风险评估、其他专题评估、集体经济物业租赁合同提前解约、停业损失补偿等未计入改造成本的费用。</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说明：本条说明不可预见费标准。</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十五条：“不可预见费按附件《旧村庄全面改造成本构成一览表》中的前期费用、拆迁费用、复建费用与其他费用总和的3%计算，确实需要突破的，最高不超过5%，用于安置补偿过程中实际发生但又未纳入改造成本部分的费用。包括拆迁补偿安置协议签订、风险评估、其他专题评估、集体经济物业租赁合同提前解约、停业损失补偿等未计入改造成本的费用。”</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第二十条 特殊情况</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旧村庄改造个案需突破以上条款规定的核算标准或需在成本构成项目以外新增专项成本的，由新丰县“三旧”改造工作领导小组结合项目实际进行充分论证，研究确定。</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说明：本条是特殊情况下成本论证的要求。</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十六条“本办法未尽事宜，由各区政府（广州空港经济区管委会）结合项目实际，组织专家或专业技术机构评估论证并形成评估报告，报城市更新工作领导小组办公室提交城市更新工作领导小组审议。”。</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第二十一条 拆迁补偿安置方案</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拆迁补偿安置方案（含具体细化的补偿标准和操作办法）由村集体、改造主体在不突破总体改造成本的前提下自行统筹实施。</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说明：本条是拆迁补偿方案的要求。</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参考:《广州市住房和城乡建设局关于印发广州市旧村庄全面改造成本核算办法的通知》（穗建规字〔2019〕13号）第十七条“拆迁补偿安置方案（含具体细化的补偿标准和操作办法）由村集体在不突破总体改造成本的前提下自行统筹实施。”。</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第二十二条 改造成本</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改造成本以公示后的基础数据调查成果和拆迁安置补偿方案为基础，按照《旧村庄全面改造成本构成一览表》（附件）的有关规定计算。</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【注释】</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说明：本条说明改造成本应以基础数据调查成果为基础。</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第二十三条 有效期</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本办法自发布之日起实行，有效期X年。相关法律、政策依据变化或有效期届满，根据实施情况评估修订。</w:t>
      </w:r>
    </w:p>
    <w:p>
      <w:pPr>
        <w:pStyle w:val="3"/>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i w:val="0"/>
          <w:iCs w:val="0"/>
          <w:color w:val="auto"/>
          <w:sz w:val="32"/>
          <w:szCs w:val="32"/>
        </w:rPr>
      </w:pPr>
      <w:r>
        <w:rPr>
          <w:rFonts w:hint="eastAsia" w:ascii="楷体_GB2312" w:hAnsi="楷体_GB2312" w:eastAsia="楷体_GB2312" w:cs="楷体_GB2312"/>
          <w:b w:val="0"/>
          <w:bCs w:val="0"/>
          <w:i w:val="0"/>
          <w:iCs w:val="0"/>
          <w:color w:val="auto"/>
          <w:sz w:val="32"/>
          <w:szCs w:val="32"/>
        </w:rPr>
        <w:t>第二十四条 附则</w:t>
      </w: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旧城镇改造可参照执行。</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sz w:val="32"/>
          <w:szCs w:val="32"/>
        </w:rPr>
      </w:pPr>
    </w:p>
    <w:p>
      <w:pPr>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i w:val="0"/>
          <w:iCs w:val="0"/>
          <w:color w:val="auto"/>
          <w:sz w:val="32"/>
          <w:szCs w:val="32"/>
        </w:rPr>
        <w:sectPr>
          <w:footerReference r:id="rId3" w:type="default"/>
          <w:pgSz w:w="11906" w:h="16838"/>
          <w:pgMar w:top="1440" w:right="1474" w:bottom="1440" w:left="1588" w:header="851" w:footer="992" w:gutter="0"/>
          <w:cols w:space="0" w:num="1"/>
          <w:docGrid w:type="lines" w:linePitch="312" w:charSpace="0"/>
        </w:sectPr>
      </w:pPr>
    </w:p>
    <w:p>
      <w:pPr>
        <w:pStyle w:val="3"/>
        <w:spacing w:line="360" w:lineRule="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附件1：旧村庄全面改造成本构成一览表</w:t>
      </w:r>
    </w:p>
    <w:p>
      <w:pPr>
        <w:spacing w:line="360" w:lineRule="auto"/>
        <w:jc w:val="center"/>
        <w:rPr>
          <w:rFonts w:hint="eastAsia" w:ascii="仿宋_GB2312" w:hAnsi="仿宋_GB2312" w:eastAsia="仿宋_GB2312" w:cs="仿宋_GB2312"/>
          <w:b/>
          <w:i w:val="0"/>
          <w:iCs w:val="0"/>
          <w:color w:val="auto"/>
          <w:sz w:val="32"/>
          <w:szCs w:val="32"/>
        </w:rPr>
      </w:pPr>
      <w:r>
        <w:rPr>
          <w:rFonts w:hint="eastAsia" w:ascii="仿宋_GB2312" w:hAnsi="仿宋_GB2312" w:eastAsia="仿宋_GB2312" w:cs="仿宋_GB2312"/>
          <w:b/>
          <w:i w:val="0"/>
          <w:iCs w:val="0"/>
          <w:color w:val="auto"/>
          <w:sz w:val="32"/>
          <w:szCs w:val="32"/>
        </w:rPr>
        <w:t>旧村庄全面改造成本构成一览表</w:t>
      </w:r>
    </w:p>
    <w:tbl>
      <w:tblPr>
        <w:tblStyle w:val="1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664"/>
        <w:gridCol w:w="1438"/>
        <w:gridCol w:w="879"/>
        <w:gridCol w:w="858"/>
        <w:gridCol w:w="5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1077" w:type="dxa"/>
            <w:gridSpan w:val="2"/>
            <w:vAlign w:val="center"/>
          </w:tcPr>
          <w:p>
            <w:pPr>
              <w:spacing w:line="360" w:lineRule="auto"/>
              <w:jc w:val="center"/>
              <w:rPr>
                <w:rFonts w:hint="eastAsia" w:ascii="仿宋_GB2312" w:hAnsi="仿宋_GB2312" w:eastAsia="仿宋_GB2312" w:cs="仿宋_GB2312"/>
                <w:b/>
                <w:i w:val="0"/>
                <w:iCs w:val="0"/>
                <w:color w:val="auto"/>
                <w:sz w:val="28"/>
                <w:szCs w:val="28"/>
              </w:rPr>
            </w:pPr>
            <w:r>
              <w:rPr>
                <w:rFonts w:hint="eastAsia" w:ascii="仿宋_GB2312" w:hAnsi="仿宋_GB2312" w:eastAsia="仿宋_GB2312" w:cs="仿宋_GB2312"/>
                <w:b/>
                <w:i w:val="0"/>
                <w:iCs w:val="0"/>
                <w:color w:val="auto"/>
                <w:sz w:val="28"/>
                <w:szCs w:val="28"/>
              </w:rPr>
              <w:t>序号</w:t>
            </w:r>
          </w:p>
        </w:tc>
        <w:tc>
          <w:tcPr>
            <w:tcW w:w="1438" w:type="dxa"/>
            <w:vAlign w:val="center"/>
          </w:tcPr>
          <w:p>
            <w:pPr>
              <w:spacing w:line="360" w:lineRule="auto"/>
              <w:jc w:val="center"/>
              <w:rPr>
                <w:rFonts w:hint="eastAsia" w:ascii="仿宋_GB2312" w:hAnsi="仿宋_GB2312" w:eastAsia="仿宋_GB2312" w:cs="仿宋_GB2312"/>
                <w:b/>
                <w:i w:val="0"/>
                <w:iCs w:val="0"/>
                <w:color w:val="auto"/>
                <w:sz w:val="28"/>
                <w:szCs w:val="28"/>
              </w:rPr>
            </w:pPr>
            <w:r>
              <w:rPr>
                <w:rFonts w:hint="eastAsia" w:ascii="仿宋_GB2312" w:hAnsi="仿宋_GB2312" w:eastAsia="仿宋_GB2312" w:cs="仿宋_GB2312"/>
                <w:b/>
                <w:i w:val="0"/>
                <w:iCs w:val="0"/>
                <w:color w:val="auto"/>
                <w:sz w:val="28"/>
                <w:szCs w:val="28"/>
              </w:rPr>
              <w:t>项目</w:t>
            </w:r>
          </w:p>
        </w:tc>
        <w:tc>
          <w:tcPr>
            <w:tcW w:w="879" w:type="dxa"/>
            <w:vAlign w:val="center"/>
          </w:tcPr>
          <w:p>
            <w:pPr>
              <w:spacing w:line="360" w:lineRule="auto"/>
              <w:jc w:val="center"/>
              <w:rPr>
                <w:rFonts w:hint="eastAsia" w:ascii="仿宋_GB2312" w:hAnsi="仿宋_GB2312" w:eastAsia="仿宋_GB2312" w:cs="仿宋_GB2312"/>
                <w:b/>
                <w:i w:val="0"/>
                <w:iCs w:val="0"/>
                <w:color w:val="auto"/>
                <w:sz w:val="28"/>
                <w:szCs w:val="28"/>
              </w:rPr>
            </w:pPr>
            <w:r>
              <w:rPr>
                <w:rFonts w:hint="eastAsia" w:ascii="仿宋_GB2312" w:hAnsi="仿宋_GB2312" w:eastAsia="仿宋_GB2312" w:cs="仿宋_GB2312"/>
                <w:b/>
                <w:i w:val="0"/>
                <w:iCs w:val="0"/>
                <w:color w:val="auto"/>
                <w:sz w:val="28"/>
                <w:szCs w:val="28"/>
              </w:rPr>
              <w:t>单位</w:t>
            </w:r>
          </w:p>
        </w:tc>
        <w:tc>
          <w:tcPr>
            <w:tcW w:w="858" w:type="dxa"/>
            <w:vAlign w:val="center"/>
          </w:tcPr>
          <w:p>
            <w:pPr>
              <w:spacing w:line="360" w:lineRule="auto"/>
              <w:jc w:val="center"/>
              <w:rPr>
                <w:rFonts w:hint="eastAsia" w:ascii="仿宋_GB2312" w:hAnsi="仿宋_GB2312" w:eastAsia="仿宋_GB2312" w:cs="仿宋_GB2312"/>
                <w:b/>
                <w:i w:val="0"/>
                <w:iCs w:val="0"/>
                <w:color w:val="auto"/>
                <w:sz w:val="28"/>
                <w:szCs w:val="28"/>
              </w:rPr>
            </w:pPr>
            <w:r>
              <w:rPr>
                <w:rFonts w:hint="eastAsia" w:ascii="仿宋_GB2312" w:hAnsi="仿宋_GB2312" w:eastAsia="仿宋_GB2312" w:cs="仿宋_GB2312"/>
                <w:b/>
                <w:i w:val="0"/>
                <w:iCs w:val="0"/>
                <w:color w:val="auto"/>
                <w:sz w:val="28"/>
                <w:szCs w:val="28"/>
              </w:rPr>
              <w:t>单价</w:t>
            </w:r>
          </w:p>
        </w:tc>
        <w:tc>
          <w:tcPr>
            <w:tcW w:w="5036" w:type="dxa"/>
            <w:vAlign w:val="center"/>
          </w:tcPr>
          <w:p>
            <w:pPr>
              <w:spacing w:line="360" w:lineRule="auto"/>
              <w:jc w:val="center"/>
              <w:rPr>
                <w:rFonts w:hint="eastAsia" w:ascii="仿宋_GB2312" w:hAnsi="仿宋_GB2312" w:eastAsia="仿宋_GB2312" w:cs="仿宋_GB2312"/>
                <w:b/>
                <w:i w:val="0"/>
                <w:iCs w:val="0"/>
                <w:color w:val="auto"/>
                <w:sz w:val="28"/>
                <w:szCs w:val="28"/>
              </w:rPr>
            </w:pPr>
            <w:r>
              <w:rPr>
                <w:rFonts w:hint="eastAsia" w:ascii="仿宋_GB2312" w:hAnsi="仿宋_GB2312" w:eastAsia="仿宋_GB2312" w:cs="仿宋_GB2312"/>
                <w:b/>
                <w:i w:val="0"/>
                <w:i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13" w:type="dxa"/>
            <w:vMerge w:val="restart"/>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前期费用</w:t>
            </w:r>
          </w:p>
        </w:tc>
        <w:tc>
          <w:tcPr>
            <w:tcW w:w="8875" w:type="dxa"/>
            <w:gridSpan w:val="5"/>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一、前期费用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基础数据调查费</w:t>
            </w:r>
          </w:p>
        </w:tc>
        <w:tc>
          <w:tcPr>
            <w:tcW w:w="1737" w:type="dxa"/>
            <w:gridSpan w:val="2"/>
            <w:vAlign w:val="center"/>
          </w:tcPr>
          <w:p>
            <w:pPr>
              <w:spacing w:line="360" w:lineRule="auto"/>
              <w:jc w:val="center"/>
              <w:rPr>
                <w:rFonts w:hint="eastAsia" w:ascii="仿宋_GB2312" w:hAnsi="仿宋_GB2312" w:eastAsia="仿宋_GB2312" w:cs="仿宋_GB2312"/>
                <w:i w:val="0"/>
                <w:iCs w:val="0"/>
                <w:color w:val="auto"/>
                <w:sz w:val="28"/>
                <w:szCs w:val="28"/>
              </w:rPr>
            </w:pP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按照《关于印发&lt;测绘工程产品价格&gt;和&lt;测绘工程产品困难类别细则&gt;的通知》（国测财字〔2002〕3号）和《城市规划设计计费指导意见》（〔2004〕中规协秘字第022号）土地等数据调查费用49.22万元/平方公里（用地面积），房产测绘Ⅲ类费用为2.72元/平方米（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改造单元规划编制费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万元/公顷</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策划研究、控制性详细规划用地方案费用。需要开展前期研究及专项评估的，其费用参考《城市规划设计计费指导意见说明》（中规协秘字第022号）中编制控制性详细规划的计价。最高按20万/每项目。以合同为依据，若无合同按10万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1.3</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项目实施改造方案编制费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万元/公顷</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p>
        </w:tc>
        <w:tc>
          <w:tcPr>
            <w:tcW w:w="5036" w:type="dxa"/>
            <w:vAlign w:val="center"/>
          </w:tcPr>
          <w:p>
            <w:pPr>
              <w:spacing w:line="360" w:lineRule="auto"/>
              <w:rPr>
                <w:rFonts w:hint="eastAsia" w:ascii="仿宋_GB2312" w:hAnsi="仿宋_GB2312" w:eastAsia="仿宋_GB2312" w:cs="仿宋_GB2312"/>
                <w:i w:val="0"/>
                <w:iCs w:val="0"/>
                <w:color w:val="auto"/>
                <w:sz w:val="28"/>
                <w:szCs w:val="28"/>
                <w:highlight w:val="yellow"/>
              </w:rPr>
            </w:pPr>
            <w:r>
              <w:rPr>
                <w:rFonts w:hint="eastAsia" w:ascii="仿宋_GB2312" w:hAnsi="仿宋_GB2312" w:eastAsia="仿宋_GB2312" w:cs="仿宋_GB2312"/>
                <w:i w:val="0"/>
                <w:iCs w:val="0"/>
                <w:color w:val="auto"/>
                <w:sz w:val="28"/>
                <w:szCs w:val="28"/>
              </w:rPr>
              <w:t>需要开展前期研究及专项评估的，其费用根据实际情况确定。最高按20万/每项目。以合同为依据，若无合同按10万核算。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1.4</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楼面地价评估</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按照《关于土地价格评估收费的通知》（计价格〔1994〕2017号），改造地块楼面地价评估选取3家评估机构，费用据实结算。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1.5</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土地勘测定界</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万元/公顷</w:t>
            </w: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0.37</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1.按照《关于印发&lt;测绘工程产品价格&gt;和&lt;测绘工程产品困难类别细则&gt;的通知》（国测财字〔2002〕3号），1:500地籍界线测绘Ⅲ类收费标准为372196.76元/平方公里。</w:t>
            </w: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2.按照《关于印发&lt;测绘工程产品价格&gt;和&lt;测绘工程产品困难类别细则&gt;的通知》（国测财字〔2002〕3号），E级控制点II类收费标准为2553元/点。</w:t>
            </w: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3.按照《关于印发&lt;测绘工程产品价格&gt;和&lt;测绘工程产品困难类别细则&gt;的通知》（国测财字〔2002〕3号），建筑用地拨地定桩2594.32元/组，每组4个点。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13" w:type="dxa"/>
            <w:vMerge w:val="restart"/>
            <w:vAlign w:val="center"/>
          </w:tcPr>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拆迁费用</w:t>
            </w:r>
          </w:p>
        </w:tc>
        <w:tc>
          <w:tcPr>
            <w:tcW w:w="8875" w:type="dxa"/>
            <w:gridSpan w:val="5"/>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二、住宅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2.1</w:t>
            </w:r>
          </w:p>
        </w:tc>
        <w:tc>
          <w:tcPr>
            <w:tcW w:w="1438"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临时安置费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元/户*月</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highlight w:val="yellow"/>
              </w:rPr>
            </w:pPr>
            <w:r>
              <w:rPr>
                <w:rFonts w:hint="eastAsia" w:ascii="仿宋_GB2312" w:hAnsi="仿宋_GB2312" w:eastAsia="仿宋_GB2312" w:cs="仿宋_GB2312"/>
                <w:i w:val="0"/>
                <w:iCs w:val="0"/>
                <w:color w:val="auto"/>
                <w:sz w:val="28"/>
                <w:szCs w:val="28"/>
              </w:rPr>
              <w:t>800</w:t>
            </w:r>
          </w:p>
        </w:tc>
        <w:tc>
          <w:tcPr>
            <w:tcW w:w="5036" w:type="dxa"/>
            <w:vAlign w:val="center"/>
          </w:tcPr>
          <w:p>
            <w:pPr>
              <w:spacing w:line="360" w:lineRule="auto"/>
              <w:rPr>
                <w:rFonts w:hint="eastAsia" w:ascii="仿宋_GB2312" w:hAnsi="仿宋_GB2312" w:eastAsia="仿宋_GB2312" w:cs="仿宋_GB2312"/>
                <w:i w:val="0"/>
                <w:iCs w:val="0"/>
                <w:color w:val="auto"/>
                <w:sz w:val="28"/>
                <w:szCs w:val="28"/>
                <w:highlight w:val="yellow"/>
              </w:rPr>
            </w:pPr>
            <w:r>
              <w:rPr>
                <w:rFonts w:hint="eastAsia" w:ascii="仿宋_GB2312" w:hAnsi="仿宋_GB2312" w:eastAsia="仿宋_GB2312" w:cs="仿宋_GB2312"/>
                <w:i w:val="0"/>
                <w:iCs w:val="0"/>
                <w:color w:val="auto"/>
                <w:sz w:val="28"/>
                <w:szCs w:val="28"/>
              </w:rPr>
              <w:t>临时安置期按3年核算。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2.2</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房屋拆运费用</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60</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包含房屋拆卸、余泥清运、余泥排放及办理各种手续的行政收费、手续费。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8875" w:type="dxa"/>
            <w:gridSpan w:val="5"/>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三、集体物业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3.1</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房屋拆运费用</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60</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包含房屋拆卸、余泥清运、余泥排放及办理各种手续的行政收费、手续费。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8875" w:type="dxa"/>
            <w:gridSpan w:val="5"/>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四、祠堂等历史建筑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4.1</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修缮费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根据保护方案，具体费用水平以第三方评估公司评估结果为准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4.2</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迁建费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根据保护方案，具体费用水平以第三方评估公司评估结果为准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8875" w:type="dxa"/>
            <w:gridSpan w:val="5"/>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五、其他补偿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5.1</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搬家补助费</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24</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含搬出、搬进费用、有电话、有线电视、管道煤气、宽带网迁装等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restart"/>
            <w:vAlign w:val="center"/>
          </w:tcPr>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复建费用</w:t>
            </w:r>
          </w:p>
        </w:tc>
        <w:tc>
          <w:tcPr>
            <w:tcW w:w="2102" w:type="dxa"/>
            <w:gridSpan w:val="2"/>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六、建设费用</w:t>
            </w:r>
          </w:p>
        </w:tc>
        <w:tc>
          <w:tcPr>
            <w:tcW w:w="1737" w:type="dxa"/>
            <w:gridSpan w:val="2"/>
            <w:vAlign w:val="center"/>
          </w:tcPr>
          <w:p>
            <w:pPr>
              <w:spacing w:line="360" w:lineRule="auto"/>
              <w:jc w:val="center"/>
              <w:rPr>
                <w:rFonts w:hint="eastAsia" w:ascii="仿宋_GB2312" w:hAnsi="仿宋_GB2312" w:eastAsia="仿宋_GB2312" w:cs="仿宋_GB2312"/>
                <w:b/>
                <w:bCs/>
                <w:i w:val="0"/>
                <w:iCs w:val="0"/>
                <w:color w:val="auto"/>
                <w:sz w:val="28"/>
                <w:szCs w:val="28"/>
              </w:rPr>
            </w:pPr>
          </w:p>
        </w:tc>
        <w:tc>
          <w:tcPr>
            <w:tcW w:w="5036" w:type="dxa"/>
            <w:vAlign w:val="center"/>
          </w:tcPr>
          <w:p>
            <w:pPr>
              <w:spacing w:line="360" w:lineRule="auto"/>
              <w:ind w:firstLine="560" w:firstLineChars="200"/>
              <w:jc w:val="left"/>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参考《韶关市人民政府办公室关于公布韶关市区单位建筑面积参考造价（2019）的通知》（韶府办发函〔2019〕65号）</w:t>
            </w:r>
          </w:p>
          <w:p>
            <w:pPr>
              <w:spacing w:line="360" w:lineRule="auto"/>
              <w:jc w:val="left"/>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一般民用建筑类</w:t>
            </w:r>
          </w:p>
          <w:p>
            <w:pPr>
              <w:spacing w:line="360" w:lineRule="auto"/>
              <w:jc w:val="left"/>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（一）无电梯类建筑：1000元/平方米；</w:t>
            </w:r>
          </w:p>
          <w:p>
            <w:pPr>
              <w:spacing w:line="360" w:lineRule="auto"/>
              <w:jc w:val="left"/>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（二）有电梯类建筑：1000元/平方米（≤6层住宅楼）；1200元/平方米(＜18层非住宅类建筑、＞6层且＜18层住宅楼)；1500元/平方米(≥18层且＜25层)；1800元/平方米(≥25层)</w:t>
            </w:r>
          </w:p>
          <w:p>
            <w:pPr>
              <w:spacing w:line="360" w:lineRule="auto"/>
              <w:ind w:firstLine="560" w:firstLineChars="200"/>
              <w:jc w:val="left"/>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建设单价按韶关市、新丰县政府每年公布的参考造价更新。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6.1</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住宅（≤6层）</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1000</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单价不包含地下室、不装电梯、不配中央空调。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6.2</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住宅（＞6层）</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1800</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单价包含地下室、装电梯、不配中央空调。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6.3</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办公楼</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1800</w:t>
            </w:r>
          </w:p>
        </w:tc>
        <w:tc>
          <w:tcPr>
            <w:tcW w:w="5036" w:type="dxa"/>
            <w:vMerge w:val="restart"/>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单价包含地下室、装电梯、配中央空调。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6.4</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商场（非小区配套）</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元/㎡</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2000</w:t>
            </w:r>
          </w:p>
        </w:tc>
        <w:tc>
          <w:tcPr>
            <w:tcW w:w="503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413"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664"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6.5</w:t>
            </w:r>
          </w:p>
        </w:tc>
        <w:tc>
          <w:tcPr>
            <w:tcW w:w="143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为区域服务的大型市政基础设施和公建配套设施等公益性专项建设</w:t>
            </w:r>
          </w:p>
        </w:tc>
        <w:tc>
          <w:tcPr>
            <w:tcW w:w="879" w:type="dxa"/>
            <w:vAlign w:val="center"/>
          </w:tcPr>
          <w:p>
            <w:pPr>
              <w:spacing w:line="360" w:lineRule="auto"/>
              <w:rPr>
                <w:rFonts w:hint="eastAsia" w:ascii="仿宋_GB2312" w:hAnsi="仿宋_GB2312" w:eastAsia="仿宋_GB2312" w:cs="仿宋_GB2312"/>
                <w:i w:val="0"/>
                <w:iCs w:val="0"/>
                <w:color w:val="auto"/>
                <w:sz w:val="28"/>
                <w:szCs w:val="28"/>
              </w:rPr>
            </w:pP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根据旧村庄规划后重建区范围规划情况，进行专项评估后纳入改造成本。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2515" w:type="dxa"/>
            <w:gridSpan w:val="3"/>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七、不可预见费</w:t>
            </w:r>
          </w:p>
        </w:tc>
        <w:tc>
          <w:tcPr>
            <w:tcW w:w="879"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tc>
        <w:tc>
          <w:tcPr>
            <w:tcW w:w="858"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不可预见费用于安置补偿过程中实际安置协议签订、拆迁奖励、风险评估、其他专题评估、集体经济物业租赁合同提前解约、停业损失补偿等未计入改造成本的费用。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2515" w:type="dxa"/>
            <w:gridSpan w:val="3"/>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八、项目地块土地使用权测算土地成本</w:t>
            </w:r>
          </w:p>
        </w:tc>
        <w:tc>
          <w:tcPr>
            <w:tcW w:w="879" w:type="dxa"/>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万元</w:t>
            </w:r>
          </w:p>
        </w:tc>
        <w:tc>
          <w:tcPr>
            <w:tcW w:w="858"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tc>
        <w:tc>
          <w:tcPr>
            <w:tcW w:w="5036" w:type="dxa"/>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集体经济组织自愿申请将其集体建设用地转为国有建设用地后进行改造的，协议出让时土地价款按土地市场评估价的30%确定。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2515" w:type="dxa"/>
            <w:gridSpan w:val="3"/>
            <w:vAlign w:val="center"/>
          </w:tcPr>
          <w:p>
            <w:pPr>
              <w:spacing w:line="360" w:lineRule="auto"/>
              <w:jc w:val="center"/>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九、改造成本合计</w:t>
            </w:r>
          </w:p>
        </w:tc>
        <w:tc>
          <w:tcPr>
            <w:tcW w:w="6773" w:type="dxa"/>
            <w:gridSpan w:val="3"/>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w:t>
            </w:r>
          </w:p>
        </w:tc>
      </w:tr>
    </w:tbl>
    <w:p>
      <w:pPr>
        <w:widowControl/>
        <w:spacing w:line="360" w:lineRule="auto"/>
        <w:jc w:val="left"/>
        <w:rPr>
          <w:rFonts w:hint="eastAsia" w:ascii="仿宋_GB2312" w:hAnsi="仿宋_GB2312" w:eastAsia="仿宋_GB2312" w:cs="仿宋_GB2312"/>
          <w:b/>
          <w:i w:val="0"/>
          <w:iCs w:val="0"/>
          <w:color w:val="auto"/>
          <w:sz w:val="32"/>
          <w:szCs w:val="32"/>
        </w:rPr>
      </w:pPr>
      <w:r>
        <w:rPr>
          <w:rFonts w:hint="eastAsia" w:ascii="仿宋_GB2312" w:hAnsi="仿宋_GB2312" w:eastAsia="仿宋_GB2312" w:cs="仿宋_GB2312"/>
          <w:b/>
          <w:i w:val="0"/>
          <w:iCs w:val="0"/>
          <w:color w:val="auto"/>
          <w:sz w:val="32"/>
          <w:szCs w:val="32"/>
        </w:rPr>
        <w:br w:type="page"/>
      </w:r>
    </w:p>
    <w:p>
      <w:pPr>
        <w:pStyle w:val="3"/>
        <w:spacing w:line="360" w:lineRule="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附件2：农村历史建房认定申请表</w:t>
      </w:r>
    </w:p>
    <w:tbl>
      <w:tblPr>
        <w:tblStyle w:val="1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30"/>
        <w:gridCol w:w="299"/>
        <w:gridCol w:w="756"/>
        <w:gridCol w:w="144"/>
        <w:gridCol w:w="823"/>
        <w:gridCol w:w="386"/>
        <w:gridCol w:w="445"/>
        <w:gridCol w:w="825"/>
        <w:gridCol w:w="689"/>
        <w:gridCol w:w="209"/>
        <w:gridCol w:w="11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9061" w:type="dxa"/>
            <w:gridSpan w:val="13"/>
            <w:tcBorders>
              <w:top w:val="nil"/>
              <w:left w:val="nil"/>
              <w:bottom w:val="single" w:color="auto" w:sz="4" w:space="0"/>
              <w:right w:val="nil"/>
            </w:tcBorders>
            <w:vAlign w:val="center"/>
          </w:tcPr>
          <w:p>
            <w:pPr>
              <w:widowControl/>
              <w:spacing w:line="360" w:lineRule="auto"/>
              <w:jc w:val="center"/>
              <w:rPr>
                <w:rFonts w:hint="eastAsia" w:ascii="仿宋_GB2312" w:hAnsi="仿宋_GB2312" w:eastAsia="仿宋_GB2312" w:cs="仿宋_GB2312"/>
                <w:b/>
                <w:i w:val="0"/>
                <w:iCs w:val="0"/>
                <w:color w:val="auto"/>
                <w:kern w:val="0"/>
                <w:sz w:val="32"/>
                <w:szCs w:val="32"/>
              </w:rPr>
            </w:pPr>
            <w:r>
              <w:rPr>
                <w:rFonts w:hint="eastAsia" w:ascii="仿宋_GB2312" w:hAnsi="仿宋_GB2312" w:eastAsia="仿宋_GB2312" w:cs="仿宋_GB2312"/>
                <w:b/>
                <w:i w:val="0"/>
                <w:iCs w:val="0"/>
                <w:color w:val="auto"/>
                <w:kern w:val="0"/>
                <w:sz w:val="32"/>
                <w:szCs w:val="32"/>
              </w:rPr>
              <w:t>农村历史建房认定申请表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946" w:type="dxa"/>
            <w:vMerge w:val="restart"/>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申请户主信息</w:t>
            </w:r>
          </w:p>
        </w:tc>
        <w:tc>
          <w:tcPr>
            <w:tcW w:w="830"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姓名</w:t>
            </w:r>
          </w:p>
        </w:tc>
        <w:tc>
          <w:tcPr>
            <w:tcW w:w="119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23"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性别</w:t>
            </w:r>
          </w:p>
        </w:tc>
        <w:tc>
          <w:tcPr>
            <w:tcW w:w="831"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25"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年龄</w:t>
            </w:r>
          </w:p>
        </w:tc>
        <w:tc>
          <w:tcPr>
            <w:tcW w:w="898" w:type="dxa"/>
            <w:gridSpan w:val="2"/>
            <w:vAlign w:val="center"/>
          </w:tcPr>
          <w:p>
            <w:pPr>
              <w:spacing w:line="360" w:lineRule="auto"/>
              <w:ind w:firstLine="420" w:firstLineChars="200"/>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岁  岁</w:t>
            </w:r>
          </w:p>
        </w:tc>
        <w:tc>
          <w:tcPr>
            <w:tcW w:w="1150"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联系电话</w:t>
            </w:r>
          </w:p>
        </w:tc>
        <w:tc>
          <w:tcPr>
            <w:tcW w:w="1559" w:type="dxa"/>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94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身份证号</w:t>
            </w:r>
          </w:p>
        </w:tc>
        <w:tc>
          <w:tcPr>
            <w:tcW w:w="2109" w:type="dxa"/>
            <w:gridSpan w:val="4"/>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270"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户口所在地</w:t>
            </w:r>
          </w:p>
        </w:tc>
        <w:tc>
          <w:tcPr>
            <w:tcW w:w="3607" w:type="dxa"/>
            <w:gridSpan w:val="4"/>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946" w:type="dxa"/>
            <w:vMerge w:val="restart"/>
            <w:vAlign w:val="center"/>
          </w:tcPr>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家庭成员信息</w:t>
            </w: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姓名</w:t>
            </w:r>
          </w:p>
        </w:tc>
        <w:tc>
          <w:tcPr>
            <w:tcW w:w="756"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年龄</w:t>
            </w:r>
          </w:p>
        </w:tc>
        <w:tc>
          <w:tcPr>
            <w:tcW w:w="1353"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与户主关系</w:t>
            </w:r>
          </w:p>
        </w:tc>
        <w:tc>
          <w:tcPr>
            <w:tcW w:w="195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身份证号</w:t>
            </w:r>
          </w:p>
        </w:tc>
        <w:tc>
          <w:tcPr>
            <w:tcW w:w="2918"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94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756" w:type="dxa"/>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353"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95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2918"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94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756" w:type="dxa"/>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353"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95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2918"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94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756" w:type="dxa"/>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353"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95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2918"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946" w:type="dxa"/>
            <w:vMerge w:val="continue"/>
            <w:vAlign w:val="center"/>
          </w:tcPr>
          <w:p>
            <w:pPr>
              <w:spacing w:line="360" w:lineRule="auto"/>
              <w:rPr>
                <w:rFonts w:hint="eastAsia" w:ascii="仿宋_GB2312" w:hAnsi="仿宋_GB2312" w:eastAsia="仿宋_GB2312" w:cs="仿宋_GB2312"/>
                <w:i w:val="0"/>
                <w:iCs w:val="0"/>
                <w:color w:val="auto"/>
                <w:sz w:val="28"/>
                <w:szCs w:val="28"/>
              </w:rPr>
            </w:pPr>
          </w:p>
        </w:tc>
        <w:tc>
          <w:tcPr>
            <w:tcW w:w="1129" w:type="dxa"/>
            <w:gridSpan w:val="2"/>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756" w:type="dxa"/>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353"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1959"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2918"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46" w:type="dxa"/>
            <w:vMerge w:val="restart"/>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农村历史建房用地情况</w:t>
            </w:r>
          </w:p>
        </w:tc>
        <w:tc>
          <w:tcPr>
            <w:tcW w:w="1885" w:type="dxa"/>
            <w:gridSpan w:val="3"/>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房基占地面积</w:t>
            </w:r>
          </w:p>
        </w:tc>
        <w:tc>
          <w:tcPr>
            <w:tcW w:w="6230" w:type="dxa"/>
            <w:gridSpan w:val="9"/>
            <w:vAlign w:val="center"/>
          </w:tcPr>
          <w:p>
            <w:pPr>
              <w:spacing w:line="360" w:lineRule="auto"/>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 xml:space="preserve">               m</w:t>
            </w:r>
            <w:r>
              <w:rPr>
                <w:rFonts w:hint="eastAsia" w:ascii="仿宋_GB2312" w:hAnsi="仿宋_GB2312" w:eastAsia="仿宋_GB2312" w:cs="仿宋_GB2312"/>
                <w:i w:val="0"/>
                <w:iCs w:val="0"/>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46" w:type="dxa"/>
            <w:vMerge w:val="continue"/>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30"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地址</w:t>
            </w:r>
          </w:p>
        </w:tc>
        <w:tc>
          <w:tcPr>
            <w:tcW w:w="7285" w:type="dxa"/>
            <w:gridSpan w:val="11"/>
            <w:vAlign w:val="center"/>
          </w:tcPr>
          <w:p>
            <w:pPr>
              <w:spacing w:line="360" w:lineRule="auto"/>
              <w:rPr>
                <w:rFonts w:hint="eastAsia" w:ascii="仿宋_GB2312" w:hAnsi="仿宋_GB2312" w:eastAsia="仿宋_GB2312" w:cs="仿宋_GB2312"/>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46" w:type="dxa"/>
            <w:vMerge w:val="continue"/>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30" w:type="dxa"/>
            <w:vMerge w:val="restart"/>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四至</w:t>
            </w:r>
          </w:p>
        </w:tc>
        <w:tc>
          <w:tcPr>
            <w:tcW w:w="7285" w:type="dxa"/>
            <w:gridSpan w:val="11"/>
            <w:vAlign w:val="center"/>
          </w:tcPr>
          <w:p>
            <w:pPr>
              <w:spacing w:line="360" w:lineRule="auto"/>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46" w:type="dxa"/>
            <w:vMerge w:val="continue"/>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30" w:type="dxa"/>
            <w:vMerge w:val="continue"/>
            <w:vAlign w:val="center"/>
          </w:tcPr>
          <w:p>
            <w:pPr>
              <w:spacing w:line="360" w:lineRule="auto"/>
              <w:rPr>
                <w:rFonts w:hint="eastAsia" w:ascii="仿宋_GB2312" w:hAnsi="仿宋_GB2312" w:eastAsia="仿宋_GB2312" w:cs="仿宋_GB2312"/>
                <w:i w:val="0"/>
                <w:iCs w:val="0"/>
                <w:color w:val="auto"/>
                <w:sz w:val="21"/>
                <w:szCs w:val="21"/>
              </w:rPr>
            </w:pPr>
          </w:p>
        </w:tc>
        <w:tc>
          <w:tcPr>
            <w:tcW w:w="7285" w:type="dxa"/>
            <w:gridSpan w:val="11"/>
            <w:vAlign w:val="center"/>
          </w:tcPr>
          <w:p>
            <w:pPr>
              <w:spacing w:line="360" w:lineRule="auto"/>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46" w:type="dxa"/>
            <w:vMerge w:val="continue"/>
            <w:vAlign w:val="center"/>
          </w:tcPr>
          <w:p>
            <w:pPr>
              <w:spacing w:line="360" w:lineRule="auto"/>
              <w:jc w:val="center"/>
              <w:rPr>
                <w:rFonts w:hint="eastAsia" w:ascii="仿宋_GB2312" w:hAnsi="仿宋_GB2312" w:eastAsia="仿宋_GB2312" w:cs="仿宋_GB2312"/>
                <w:i w:val="0"/>
                <w:iCs w:val="0"/>
                <w:color w:val="auto"/>
                <w:sz w:val="21"/>
                <w:szCs w:val="21"/>
              </w:rPr>
            </w:pPr>
          </w:p>
        </w:tc>
        <w:tc>
          <w:tcPr>
            <w:tcW w:w="830" w:type="dxa"/>
            <w:vAlign w:val="center"/>
          </w:tcPr>
          <w:p>
            <w:pPr>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地类</w:t>
            </w:r>
          </w:p>
        </w:tc>
        <w:tc>
          <w:tcPr>
            <w:tcW w:w="7285" w:type="dxa"/>
            <w:gridSpan w:val="11"/>
            <w:vAlign w:val="center"/>
          </w:tcPr>
          <w:p>
            <w:pPr>
              <w:spacing w:line="360" w:lineRule="auto"/>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 xml:space="preserve">1.建设用地    2.未利用地    </w:t>
            </w:r>
          </w:p>
          <w:p>
            <w:pPr>
              <w:spacing w:line="360" w:lineRule="auto"/>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3.农用地（耕地、林地、草地、其它</w:t>
            </w:r>
            <w:r>
              <w:rPr>
                <w:rFonts w:hint="eastAsia" w:ascii="仿宋_GB2312" w:hAnsi="仿宋_GB2312" w:eastAsia="仿宋_GB2312" w:cs="仿宋_GB2312"/>
                <w:i w:val="0"/>
                <w:iCs w:val="0"/>
                <w:color w:val="auto"/>
                <w:sz w:val="21"/>
                <w:szCs w:val="21"/>
                <w:u w:val="single"/>
              </w:rPr>
              <w:t xml:space="preserve">     </w:t>
            </w:r>
            <w:r>
              <w:rPr>
                <w:rFonts w:hint="eastAsia" w:ascii="仿宋_GB2312" w:hAnsi="仿宋_GB2312" w:eastAsia="仿宋_GB2312" w:cs="仿宋_GB2312"/>
                <w:i w:val="0"/>
                <w:iCs w:val="0"/>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46" w:type="dxa"/>
            <w:vMerge w:val="continue"/>
            <w:vAlign w:val="center"/>
          </w:tcPr>
          <w:p>
            <w:pPr>
              <w:widowControl/>
              <w:spacing w:line="360" w:lineRule="auto"/>
              <w:jc w:val="center"/>
              <w:rPr>
                <w:rFonts w:hint="eastAsia" w:ascii="仿宋_GB2312" w:hAnsi="仿宋_GB2312" w:eastAsia="仿宋_GB2312" w:cs="仿宋_GB2312"/>
                <w:i w:val="0"/>
                <w:iCs w:val="0"/>
                <w:color w:val="auto"/>
                <w:sz w:val="21"/>
                <w:szCs w:val="21"/>
              </w:rPr>
            </w:pPr>
          </w:p>
        </w:tc>
        <w:tc>
          <w:tcPr>
            <w:tcW w:w="8115" w:type="dxa"/>
            <w:gridSpan w:val="12"/>
            <w:vAlign w:val="center"/>
          </w:tcPr>
          <w:p>
            <w:pPr>
              <w:spacing w:line="360" w:lineRule="auto"/>
              <w:jc w:val="lef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946" w:type="dxa"/>
            <w:vAlign w:val="center"/>
          </w:tcPr>
          <w:p>
            <w:pPr>
              <w:widowControl/>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申请</w:t>
            </w:r>
          </w:p>
          <w:p>
            <w:pPr>
              <w:widowControl/>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理由</w:t>
            </w:r>
          </w:p>
        </w:tc>
        <w:tc>
          <w:tcPr>
            <w:tcW w:w="8115" w:type="dxa"/>
            <w:gridSpan w:val="12"/>
            <w:vAlign w:val="center"/>
          </w:tcPr>
          <w:p>
            <w:pPr>
              <w:spacing w:line="360" w:lineRule="auto"/>
              <w:jc w:val="left"/>
              <w:rPr>
                <w:rFonts w:hint="eastAsia" w:ascii="仿宋_GB2312" w:hAnsi="仿宋_GB2312" w:eastAsia="仿宋_GB2312" w:cs="仿宋_GB2312"/>
                <w:i w:val="0"/>
                <w:iCs w:val="0"/>
                <w:color w:val="auto"/>
                <w:sz w:val="21"/>
                <w:szCs w:val="21"/>
              </w:rPr>
            </w:pPr>
          </w:p>
          <w:p>
            <w:pPr>
              <w:spacing w:line="360" w:lineRule="auto"/>
              <w:jc w:val="left"/>
              <w:rPr>
                <w:rFonts w:hint="eastAsia" w:ascii="仿宋_GB2312" w:hAnsi="仿宋_GB2312" w:eastAsia="仿宋_GB2312" w:cs="仿宋_GB2312"/>
                <w:i w:val="0"/>
                <w:iCs w:val="0"/>
                <w:color w:val="auto"/>
                <w:sz w:val="21"/>
                <w:szCs w:val="21"/>
              </w:rPr>
            </w:pPr>
          </w:p>
          <w:p>
            <w:pPr>
              <w:spacing w:line="360" w:lineRule="auto"/>
              <w:jc w:val="left"/>
              <w:rPr>
                <w:rFonts w:hint="eastAsia" w:ascii="仿宋_GB2312" w:hAnsi="仿宋_GB2312" w:eastAsia="仿宋_GB2312" w:cs="仿宋_GB2312"/>
                <w:i w:val="0"/>
                <w:iCs w:val="0"/>
                <w:color w:val="auto"/>
                <w:sz w:val="21"/>
                <w:szCs w:val="21"/>
              </w:rPr>
            </w:pPr>
          </w:p>
          <w:p>
            <w:pPr>
              <w:spacing w:line="360" w:lineRule="auto"/>
              <w:jc w:val="righ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946" w:type="dxa"/>
            <w:vAlign w:val="center"/>
          </w:tcPr>
          <w:p>
            <w:pPr>
              <w:widowControl/>
              <w:spacing w:line="360" w:lineRule="auto"/>
              <w:jc w:val="center"/>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村民小组意见</w:t>
            </w:r>
          </w:p>
        </w:tc>
        <w:tc>
          <w:tcPr>
            <w:tcW w:w="8115" w:type="dxa"/>
            <w:gridSpan w:val="12"/>
            <w:vAlign w:val="center"/>
          </w:tcPr>
          <w:p>
            <w:pPr>
              <w:spacing w:line="360" w:lineRule="auto"/>
              <w:ind w:firstLine="420" w:firstLineChars="200"/>
              <w:jc w:val="left"/>
              <w:rPr>
                <w:rFonts w:hint="eastAsia" w:ascii="仿宋_GB2312" w:hAnsi="仿宋_GB2312" w:eastAsia="仿宋_GB2312" w:cs="仿宋_GB2312"/>
                <w:i w:val="0"/>
                <w:iCs w:val="0"/>
                <w:color w:val="auto"/>
                <w:sz w:val="21"/>
                <w:szCs w:val="21"/>
              </w:rPr>
            </w:pPr>
          </w:p>
          <w:p>
            <w:pPr>
              <w:spacing w:line="360" w:lineRule="auto"/>
              <w:ind w:firstLine="420" w:firstLineChars="200"/>
              <w:jc w:val="left"/>
              <w:rPr>
                <w:rFonts w:hint="eastAsia" w:ascii="仿宋_GB2312" w:hAnsi="仿宋_GB2312" w:eastAsia="仿宋_GB2312" w:cs="仿宋_GB2312"/>
                <w:i w:val="0"/>
                <w:iCs w:val="0"/>
                <w:color w:val="auto"/>
                <w:sz w:val="21"/>
                <w:szCs w:val="21"/>
              </w:rPr>
            </w:pPr>
          </w:p>
          <w:p>
            <w:pPr>
              <w:spacing w:line="360" w:lineRule="auto"/>
              <w:ind w:firstLine="2730" w:firstLineChars="1300"/>
              <w:jc w:val="righ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46" w:type="dxa"/>
            <w:vAlign w:val="center"/>
          </w:tcPr>
          <w:p>
            <w:pPr>
              <w:spacing w:line="360" w:lineRule="auto"/>
              <w:jc w:val="lef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村集体经济组织或村民委员会意见</w:t>
            </w:r>
          </w:p>
        </w:tc>
        <w:tc>
          <w:tcPr>
            <w:tcW w:w="8115" w:type="dxa"/>
            <w:gridSpan w:val="12"/>
            <w:vAlign w:val="center"/>
          </w:tcPr>
          <w:p>
            <w:pPr>
              <w:spacing w:line="360" w:lineRule="auto"/>
              <w:ind w:firstLine="420" w:firstLineChars="200"/>
              <w:jc w:val="lef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 xml:space="preserve">            </w:t>
            </w:r>
          </w:p>
          <w:p>
            <w:pPr>
              <w:spacing w:line="360" w:lineRule="auto"/>
              <w:ind w:firstLine="3150" w:firstLineChars="1500"/>
              <w:jc w:val="lef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 xml:space="preserve">                         （盖章）</w:t>
            </w:r>
          </w:p>
          <w:p>
            <w:pPr>
              <w:spacing w:line="360" w:lineRule="auto"/>
              <w:ind w:firstLine="2625" w:firstLineChars="1250"/>
              <w:jc w:val="right"/>
              <w:rPr>
                <w:rFonts w:hint="eastAsia" w:ascii="仿宋_GB2312" w:hAnsi="仿宋_GB2312" w:eastAsia="仿宋_GB2312" w:cs="仿宋_GB2312"/>
                <w:i w:val="0"/>
                <w:iCs w:val="0"/>
                <w:color w:val="auto"/>
                <w:sz w:val="21"/>
                <w:szCs w:val="21"/>
              </w:rPr>
            </w:pPr>
            <w:r>
              <w:rPr>
                <w:rFonts w:hint="eastAsia" w:ascii="仿宋_GB2312" w:hAnsi="仿宋_GB2312" w:eastAsia="仿宋_GB2312" w:cs="仿宋_GB2312"/>
                <w:i w:val="0"/>
                <w:iCs w:val="0"/>
                <w:color w:val="auto"/>
                <w:sz w:val="21"/>
                <w:szCs w:val="21"/>
              </w:rPr>
              <w:t>负责人：</w:t>
            </w:r>
            <w:r>
              <w:rPr>
                <w:rFonts w:hint="eastAsia" w:ascii="仿宋_GB2312" w:hAnsi="仿宋_GB2312" w:eastAsia="仿宋_GB2312" w:cs="仿宋_GB2312"/>
                <w:i w:val="0"/>
                <w:iCs w:val="0"/>
                <w:color w:val="auto"/>
                <w:sz w:val="21"/>
                <w:szCs w:val="21"/>
                <w:lang w:val="en-US" w:eastAsia="zh-CN"/>
              </w:rPr>
              <w:t xml:space="preserve">   </w:t>
            </w:r>
            <w:r>
              <w:rPr>
                <w:rFonts w:hint="eastAsia" w:ascii="仿宋_GB2312" w:hAnsi="仿宋_GB2312" w:eastAsia="仿宋_GB2312" w:cs="仿宋_GB2312"/>
                <w:i w:val="0"/>
                <w:iCs w:val="0"/>
                <w:color w:val="auto"/>
                <w:sz w:val="21"/>
                <w:szCs w:val="21"/>
              </w:rPr>
              <w:t xml:space="preserve">       年   月   日</w:t>
            </w:r>
          </w:p>
        </w:tc>
      </w:tr>
    </w:tbl>
    <w:p>
      <w:pPr>
        <w:pStyle w:val="3"/>
        <w:spacing w:line="360" w:lineRule="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附件3：农村历史建房用地认定审查表</w:t>
      </w:r>
    </w:p>
    <w:p>
      <w:pPr>
        <w:spacing w:line="360" w:lineRule="auto"/>
        <w:jc w:val="center"/>
        <w:rPr>
          <w:rFonts w:hint="eastAsia" w:ascii="仿宋_GB2312" w:hAnsi="仿宋_GB2312" w:eastAsia="仿宋_GB2312" w:cs="仿宋_GB2312"/>
          <w:b/>
          <w:i w:val="0"/>
          <w:iCs w:val="0"/>
          <w:color w:val="auto"/>
          <w:sz w:val="32"/>
          <w:szCs w:val="32"/>
        </w:rPr>
      </w:pPr>
      <w:r>
        <w:rPr>
          <w:rFonts w:hint="eastAsia" w:ascii="仿宋_GB2312" w:hAnsi="仿宋_GB2312" w:eastAsia="仿宋_GB2312" w:cs="仿宋_GB2312"/>
          <w:b/>
          <w:i w:val="0"/>
          <w:iCs w:val="0"/>
          <w:color w:val="auto"/>
          <w:sz w:val="32"/>
          <w:szCs w:val="32"/>
        </w:rPr>
        <w:t>农村历史建房用地认定审查表</w:t>
      </w:r>
    </w:p>
    <w:tbl>
      <w:tblPr>
        <w:tblStyle w:val="14"/>
        <w:tblpPr w:leftFromText="180" w:rightFromText="180" w:vertAnchor="page" w:horzAnchor="margin" w:tblpXSpec="center" w:tblpY="319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09"/>
        <w:gridCol w:w="573"/>
        <w:gridCol w:w="274"/>
        <w:gridCol w:w="567"/>
        <w:gridCol w:w="561"/>
        <w:gridCol w:w="1688"/>
        <w:gridCol w:w="704"/>
        <w:gridCol w:w="154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43" w:type="dxa"/>
            <w:gridSpan w:val="2"/>
            <w:vMerge w:val="restart"/>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申请户主信息</w:t>
            </w:r>
          </w:p>
        </w:tc>
        <w:tc>
          <w:tcPr>
            <w:tcW w:w="1414" w:type="dxa"/>
            <w:gridSpan w:val="3"/>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姓名</w:t>
            </w:r>
          </w:p>
        </w:tc>
        <w:tc>
          <w:tcPr>
            <w:tcW w:w="561" w:type="dxa"/>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性别</w:t>
            </w:r>
          </w:p>
        </w:tc>
        <w:tc>
          <w:tcPr>
            <w:tcW w:w="1688" w:type="dxa"/>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身份证号</w:t>
            </w:r>
          </w:p>
        </w:tc>
        <w:tc>
          <w:tcPr>
            <w:tcW w:w="2252" w:type="dxa"/>
            <w:gridSpan w:val="2"/>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家庭住址</w:t>
            </w:r>
          </w:p>
        </w:tc>
        <w:tc>
          <w:tcPr>
            <w:tcW w:w="2203" w:type="dxa"/>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943" w:type="dxa"/>
            <w:gridSpan w:val="2"/>
            <w:vMerge w:val="continue"/>
            <w:vAlign w:val="center"/>
          </w:tcPr>
          <w:p>
            <w:pPr>
              <w:spacing w:line="360" w:lineRule="auto"/>
              <w:rPr>
                <w:rFonts w:hint="eastAsia" w:ascii="仿宋_GB2312" w:hAnsi="仿宋_GB2312" w:eastAsia="仿宋_GB2312" w:cs="仿宋_GB2312"/>
                <w:i w:val="0"/>
                <w:iCs w:val="0"/>
                <w:color w:val="auto"/>
                <w:sz w:val="24"/>
                <w:szCs w:val="24"/>
              </w:rPr>
            </w:pPr>
          </w:p>
        </w:tc>
        <w:tc>
          <w:tcPr>
            <w:tcW w:w="1414" w:type="dxa"/>
            <w:gridSpan w:val="3"/>
          </w:tcPr>
          <w:p>
            <w:pPr>
              <w:spacing w:line="360" w:lineRule="auto"/>
              <w:rPr>
                <w:rFonts w:hint="eastAsia" w:ascii="仿宋_GB2312" w:hAnsi="仿宋_GB2312" w:eastAsia="仿宋_GB2312" w:cs="仿宋_GB2312"/>
                <w:i w:val="0"/>
                <w:iCs w:val="0"/>
                <w:color w:val="auto"/>
                <w:sz w:val="24"/>
                <w:szCs w:val="24"/>
              </w:rPr>
            </w:pPr>
          </w:p>
        </w:tc>
        <w:tc>
          <w:tcPr>
            <w:tcW w:w="561" w:type="dxa"/>
          </w:tcPr>
          <w:p>
            <w:pPr>
              <w:spacing w:line="360" w:lineRule="auto"/>
              <w:rPr>
                <w:rFonts w:hint="eastAsia" w:ascii="仿宋_GB2312" w:hAnsi="仿宋_GB2312" w:eastAsia="仿宋_GB2312" w:cs="仿宋_GB2312"/>
                <w:i w:val="0"/>
                <w:iCs w:val="0"/>
                <w:color w:val="auto"/>
                <w:sz w:val="24"/>
                <w:szCs w:val="24"/>
              </w:rPr>
            </w:pPr>
          </w:p>
        </w:tc>
        <w:tc>
          <w:tcPr>
            <w:tcW w:w="1688" w:type="dxa"/>
          </w:tcPr>
          <w:p>
            <w:pPr>
              <w:spacing w:line="360" w:lineRule="auto"/>
              <w:rPr>
                <w:rFonts w:hint="eastAsia" w:ascii="仿宋_GB2312" w:hAnsi="仿宋_GB2312" w:eastAsia="仿宋_GB2312" w:cs="仿宋_GB2312"/>
                <w:i w:val="0"/>
                <w:iCs w:val="0"/>
                <w:color w:val="auto"/>
                <w:sz w:val="24"/>
                <w:szCs w:val="24"/>
              </w:rPr>
            </w:pPr>
          </w:p>
        </w:tc>
        <w:tc>
          <w:tcPr>
            <w:tcW w:w="2252" w:type="dxa"/>
            <w:gridSpan w:val="2"/>
          </w:tcPr>
          <w:p>
            <w:pPr>
              <w:spacing w:line="360" w:lineRule="auto"/>
              <w:rPr>
                <w:rFonts w:hint="eastAsia" w:ascii="仿宋_GB2312" w:hAnsi="仿宋_GB2312" w:eastAsia="仿宋_GB2312" w:cs="仿宋_GB2312"/>
                <w:i w:val="0"/>
                <w:iCs w:val="0"/>
                <w:color w:val="auto"/>
                <w:sz w:val="24"/>
                <w:szCs w:val="24"/>
              </w:rPr>
            </w:pPr>
          </w:p>
        </w:tc>
        <w:tc>
          <w:tcPr>
            <w:tcW w:w="2203" w:type="dxa"/>
          </w:tcPr>
          <w:p>
            <w:pPr>
              <w:spacing w:line="360" w:lineRule="auto"/>
              <w:rPr>
                <w:rFonts w:hint="eastAsia" w:ascii="仿宋_GB2312" w:hAnsi="仿宋_GB2312" w:eastAsia="仿宋_GB2312" w:cs="仿宋_GB2312"/>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943" w:type="dxa"/>
            <w:gridSpan w:val="2"/>
            <w:vMerge w:val="restart"/>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历史建房用地情况</w:t>
            </w:r>
          </w:p>
        </w:tc>
        <w:tc>
          <w:tcPr>
            <w:tcW w:w="1414" w:type="dxa"/>
            <w:gridSpan w:val="3"/>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1"/>
                <w:szCs w:val="21"/>
              </w:rPr>
              <w:t>房基占地面积</w:t>
            </w:r>
          </w:p>
        </w:tc>
        <w:tc>
          <w:tcPr>
            <w:tcW w:w="2249" w:type="dxa"/>
            <w:gridSpan w:val="2"/>
            <w:vAlign w:val="center"/>
          </w:tcPr>
          <w:p>
            <w:pPr>
              <w:spacing w:line="360" w:lineRule="auto"/>
              <w:jc w:val="right"/>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m</w:t>
            </w:r>
            <w:r>
              <w:rPr>
                <w:rFonts w:hint="eastAsia" w:ascii="仿宋_GB2312" w:hAnsi="仿宋_GB2312" w:eastAsia="仿宋_GB2312" w:cs="仿宋_GB2312"/>
                <w:i w:val="0"/>
                <w:iCs w:val="0"/>
                <w:color w:val="auto"/>
                <w:sz w:val="24"/>
                <w:szCs w:val="24"/>
                <w:vertAlign w:val="superscript"/>
              </w:rPr>
              <w:t>2</w:t>
            </w:r>
          </w:p>
        </w:tc>
        <w:tc>
          <w:tcPr>
            <w:tcW w:w="704" w:type="dxa"/>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地址</w:t>
            </w:r>
          </w:p>
        </w:tc>
        <w:tc>
          <w:tcPr>
            <w:tcW w:w="3751" w:type="dxa"/>
            <w:gridSpan w:val="2"/>
            <w:vAlign w:val="center"/>
          </w:tcPr>
          <w:p>
            <w:pPr>
              <w:spacing w:line="360" w:lineRule="auto"/>
              <w:jc w:val="center"/>
              <w:rPr>
                <w:rFonts w:hint="eastAsia" w:ascii="仿宋_GB2312" w:hAnsi="仿宋_GB2312" w:eastAsia="仿宋_GB2312" w:cs="仿宋_GB2312"/>
                <w:i w:val="0"/>
                <w:iCs w:val="0"/>
                <w:color w:val="auto"/>
                <w:sz w:val="24"/>
                <w:szCs w:val="24"/>
              </w:rPr>
            </w:pPr>
            <w:bookmarkStart w:id="0" w:name="_GoBack"/>
            <w:bookmarkEnd w:id="0"/>
            <w:r>
              <w:rPr>
                <w:rFonts w:hint="eastAsia" w:ascii="仿宋_GB2312" w:hAnsi="仿宋_GB2312" w:eastAsia="仿宋_GB2312" w:cs="仿宋_GB2312"/>
                <w:i w:val="0"/>
                <w:i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43" w:type="dxa"/>
            <w:gridSpan w:val="2"/>
            <w:vMerge w:val="continue"/>
            <w:vAlign w:val="center"/>
          </w:tcPr>
          <w:p>
            <w:pPr>
              <w:spacing w:line="360" w:lineRule="auto"/>
              <w:jc w:val="center"/>
              <w:rPr>
                <w:rFonts w:hint="eastAsia" w:ascii="仿宋_GB2312" w:hAnsi="仿宋_GB2312" w:eastAsia="仿宋_GB2312" w:cs="仿宋_GB2312"/>
                <w:i w:val="0"/>
                <w:iCs w:val="0"/>
                <w:color w:val="auto"/>
                <w:sz w:val="24"/>
                <w:szCs w:val="24"/>
              </w:rPr>
            </w:pPr>
          </w:p>
        </w:tc>
        <w:tc>
          <w:tcPr>
            <w:tcW w:w="847" w:type="dxa"/>
            <w:gridSpan w:val="2"/>
            <w:vMerge w:val="restart"/>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四至</w:t>
            </w:r>
          </w:p>
        </w:tc>
        <w:tc>
          <w:tcPr>
            <w:tcW w:w="7271" w:type="dxa"/>
            <w:gridSpan w:val="6"/>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43" w:type="dxa"/>
            <w:gridSpan w:val="2"/>
            <w:vMerge w:val="continue"/>
            <w:vAlign w:val="center"/>
          </w:tcPr>
          <w:p>
            <w:pPr>
              <w:spacing w:line="360" w:lineRule="auto"/>
              <w:jc w:val="center"/>
              <w:rPr>
                <w:rFonts w:hint="eastAsia" w:ascii="仿宋_GB2312" w:hAnsi="仿宋_GB2312" w:eastAsia="仿宋_GB2312" w:cs="仿宋_GB2312"/>
                <w:i w:val="0"/>
                <w:iCs w:val="0"/>
                <w:color w:val="auto"/>
                <w:sz w:val="24"/>
                <w:szCs w:val="24"/>
              </w:rPr>
            </w:pPr>
          </w:p>
        </w:tc>
        <w:tc>
          <w:tcPr>
            <w:tcW w:w="847" w:type="dxa"/>
            <w:gridSpan w:val="2"/>
            <w:vMerge w:val="continue"/>
            <w:vAlign w:val="center"/>
          </w:tcPr>
          <w:p>
            <w:pPr>
              <w:spacing w:line="360" w:lineRule="auto"/>
              <w:jc w:val="center"/>
              <w:rPr>
                <w:rFonts w:hint="eastAsia" w:ascii="仿宋_GB2312" w:hAnsi="仿宋_GB2312" w:eastAsia="仿宋_GB2312" w:cs="仿宋_GB2312"/>
                <w:i w:val="0"/>
                <w:iCs w:val="0"/>
                <w:color w:val="auto"/>
                <w:sz w:val="24"/>
                <w:szCs w:val="24"/>
              </w:rPr>
            </w:pPr>
          </w:p>
        </w:tc>
        <w:tc>
          <w:tcPr>
            <w:tcW w:w="7271" w:type="dxa"/>
            <w:gridSpan w:val="6"/>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43" w:type="dxa"/>
            <w:gridSpan w:val="2"/>
            <w:vMerge w:val="continue"/>
            <w:vAlign w:val="center"/>
          </w:tcPr>
          <w:p>
            <w:pPr>
              <w:spacing w:line="360" w:lineRule="auto"/>
              <w:jc w:val="center"/>
              <w:rPr>
                <w:rFonts w:hint="eastAsia" w:ascii="仿宋_GB2312" w:hAnsi="仿宋_GB2312" w:eastAsia="仿宋_GB2312" w:cs="仿宋_GB2312"/>
                <w:i w:val="0"/>
                <w:iCs w:val="0"/>
                <w:color w:val="auto"/>
                <w:sz w:val="24"/>
                <w:szCs w:val="24"/>
              </w:rPr>
            </w:pPr>
          </w:p>
        </w:tc>
        <w:tc>
          <w:tcPr>
            <w:tcW w:w="847" w:type="dxa"/>
            <w:gridSpan w:val="2"/>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地类</w:t>
            </w:r>
          </w:p>
        </w:tc>
        <w:tc>
          <w:tcPr>
            <w:tcW w:w="7271" w:type="dxa"/>
            <w:gridSpan w:val="6"/>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 xml:space="preserve">1.建设用地      2.未利用地      </w:t>
            </w:r>
          </w:p>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3.农用地（耕地、林地、草地、其它</w:t>
            </w:r>
            <w:r>
              <w:rPr>
                <w:rFonts w:hint="eastAsia" w:ascii="仿宋_GB2312" w:hAnsi="仿宋_GB2312" w:eastAsia="仿宋_GB2312" w:cs="仿宋_GB2312"/>
                <w:i w:val="0"/>
                <w:iCs w:val="0"/>
                <w:color w:val="auto"/>
                <w:sz w:val="24"/>
                <w:szCs w:val="24"/>
                <w:u w:val="single"/>
              </w:rPr>
              <w:t xml:space="preserve">       </w:t>
            </w:r>
            <w:r>
              <w:rPr>
                <w:rFonts w:hint="eastAsia" w:ascii="仿宋_GB2312" w:hAnsi="仿宋_GB2312" w:eastAsia="仿宋_GB2312" w:cs="仿宋_GB2312"/>
                <w:i w:val="0"/>
                <w:i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516" w:type="dxa"/>
            <w:gridSpan w:val="3"/>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自然资源部</w:t>
            </w:r>
          </w:p>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门审查意见</w:t>
            </w:r>
          </w:p>
        </w:tc>
        <w:tc>
          <w:tcPr>
            <w:tcW w:w="7545" w:type="dxa"/>
            <w:gridSpan w:val="7"/>
            <w:vAlign w:val="center"/>
          </w:tcPr>
          <w:p>
            <w:pPr>
              <w:spacing w:line="360" w:lineRule="auto"/>
              <w:rPr>
                <w:rFonts w:hint="eastAsia" w:ascii="仿宋_GB2312" w:hAnsi="仿宋_GB2312" w:eastAsia="仿宋_GB2312" w:cs="仿宋_GB2312"/>
                <w:i w:val="0"/>
                <w:iCs w:val="0"/>
                <w:color w:val="auto"/>
                <w:sz w:val="24"/>
                <w:szCs w:val="24"/>
              </w:rPr>
            </w:pPr>
          </w:p>
          <w:p>
            <w:pPr>
              <w:spacing w:line="360" w:lineRule="auto"/>
              <w:rPr>
                <w:rFonts w:hint="eastAsia" w:ascii="仿宋_GB2312" w:hAnsi="仿宋_GB2312" w:eastAsia="仿宋_GB2312" w:cs="仿宋_GB2312"/>
                <w:i w:val="0"/>
                <w:iCs w:val="0"/>
                <w:color w:val="auto"/>
                <w:sz w:val="24"/>
                <w:szCs w:val="24"/>
              </w:rPr>
            </w:pPr>
          </w:p>
          <w:p>
            <w:pPr>
              <w:spacing w:line="360" w:lineRule="auto"/>
              <w:rPr>
                <w:rFonts w:hint="eastAsia" w:ascii="仿宋_GB2312" w:hAnsi="仿宋_GB2312" w:eastAsia="仿宋_GB2312" w:cs="仿宋_GB2312"/>
                <w:i w:val="0"/>
                <w:iCs w:val="0"/>
                <w:color w:val="auto"/>
                <w:sz w:val="24"/>
                <w:szCs w:val="24"/>
              </w:rPr>
            </w:pPr>
          </w:p>
          <w:p>
            <w:pPr>
              <w:spacing w:line="360" w:lineRule="auto"/>
              <w:ind w:firstLine="600" w:firstLineChars="250"/>
              <w:rPr>
                <w:rFonts w:hint="eastAsia" w:ascii="仿宋_GB2312" w:hAnsi="仿宋_GB2312" w:eastAsia="仿宋_GB2312" w:cs="仿宋_GB2312"/>
                <w:i w:val="0"/>
                <w:iCs w:val="0"/>
                <w:color w:val="auto"/>
                <w:sz w:val="24"/>
                <w:szCs w:val="24"/>
              </w:rPr>
            </w:pPr>
          </w:p>
          <w:p>
            <w:pPr>
              <w:spacing w:line="360" w:lineRule="auto"/>
              <w:ind w:firstLine="600" w:firstLineChars="250"/>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 xml:space="preserve">                                               (盖章)  </w:t>
            </w:r>
          </w:p>
          <w:p>
            <w:pPr>
              <w:spacing w:line="360" w:lineRule="auto"/>
              <w:ind w:firstLine="2520" w:firstLineChars="1050"/>
              <w:jc w:val="right"/>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1516" w:type="dxa"/>
            <w:gridSpan w:val="3"/>
            <w:vAlign w:val="center"/>
          </w:tcPr>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乡镇政府审</w:t>
            </w:r>
          </w:p>
          <w:p>
            <w:pPr>
              <w:spacing w:line="360" w:lineRule="auto"/>
              <w:jc w:val="center"/>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核批准意见</w:t>
            </w:r>
          </w:p>
        </w:tc>
        <w:tc>
          <w:tcPr>
            <w:tcW w:w="7545" w:type="dxa"/>
            <w:gridSpan w:val="7"/>
            <w:vAlign w:val="center"/>
          </w:tcPr>
          <w:p>
            <w:pPr>
              <w:spacing w:line="360" w:lineRule="auto"/>
              <w:ind w:firstLine="3840" w:firstLineChars="1600"/>
              <w:rPr>
                <w:rFonts w:hint="eastAsia" w:ascii="仿宋_GB2312" w:hAnsi="仿宋_GB2312" w:eastAsia="仿宋_GB2312" w:cs="仿宋_GB2312"/>
                <w:i w:val="0"/>
                <w:iCs w:val="0"/>
                <w:color w:val="auto"/>
                <w:sz w:val="24"/>
                <w:szCs w:val="24"/>
              </w:rPr>
            </w:pPr>
          </w:p>
          <w:p>
            <w:pPr>
              <w:spacing w:line="360" w:lineRule="auto"/>
              <w:ind w:firstLine="3840" w:firstLineChars="1600"/>
              <w:rPr>
                <w:rFonts w:hint="eastAsia" w:ascii="仿宋_GB2312" w:hAnsi="仿宋_GB2312" w:eastAsia="仿宋_GB2312" w:cs="仿宋_GB2312"/>
                <w:i w:val="0"/>
                <w:iCs w:val="0"/>
                <w:color w:val="auto"/>
                <w:sz w:val="24"/>
                <w:szCs w:val="24"/>
              </w:rPr>
            </w:pPr>
          </w:p>
          <w:p>
            <w:pPr>
              <w:spacing w:line="360" w:lineRule="auto"/>
              <w:ind w:firstLine="3840" w:firstLineChars="1600"/>
              <w:rPr>
                <w:rFonts w:hint="eastAsia" w:ascii="仿宋_GB2312" w:hAnsi="仿宋_GB2312" w:eastAsia="仿宋_GB2312" w:cs="仿宋_GB2312"/>
                <w:i w:val="0"/>
                <w:iCs w:val="0"/>
                <w:color w:val="auto"/>
                <w:sz w:val="24"/>
                <w:szCs w:val="24"/>
              </w:rPr>
            </w:pPr>
          </w:p>
          <w:p>
            <w:pPr>
              <w:spacing w:line="360" w:lineRule="auto"/>
              <w:ind w:firstLine="3840" w:firstLineChars="1600"/>
              <w:rPr>
                <w:rFonts w:hint="eastAsia" w:ascii="仿宋_GB2312" w:hAnsi="仿宋_GB2312" w:eastAsia="仿宋_GB2312" w:cs="仿宋_GB2312"/>
                <w:i w:val="0"/>
                <w:iCs w:val="0"/>
                <w:color w:val="auto"/>
                <w:sz w:val="24"/>
                <w:szCs w:val="24"/>
              </w:rPr>
            </w:pPr>
          </w:p>
          <w:p>
            <w:pPr>
              <w:spacing w:line="360" w:lineRule="auto"/>
              <w:ind w:firstLine="2640" w:firstLineChars="1100"/>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 xml:space="preserve">                              (盖章)</w:t>
            </w:r>
          </w:p>
          <w:p>
            <w:pPr>
              <w:spacing w:line="360" w:lineRule="auto"/>
              <w:ind w:firstLine="2520" w:firstLineChars="1050"/>
              <w:jc w:val="right"/>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2" w:hRule="atLeast"/>
        </w:trPr>
        <w:tc>
          <w:tcPr>
            <w:tcW w:w="634" w:type="dxa"/>
            <w:vMerge w:val="restart"/>
            <w:vAlign w:val="center"/>
          </w:tcPr>
          <w:p>
            <w:pPr>
              <w:widowControl/>
              <w:spacing w:line="360" w:lineRule="auto"/>
              <w:rPr>
                <w:rFonts w:hint="eastAsia" w:ascii="仿宋_GB2312" w:hAnsi="仿宋_GB2312" w:eastAsia="仿宋_GB2312" w:cs="仿宋_GB2312"/>
                <w:i w:val="0"/>
                <w:iCs w:val="0"/>
                <w:color w:val="auto"/>
                <w:sz w:val="24"/>
                <w:szCs w:val="24"/>
              </w:rPr>
            </w:pPr>
          </w:p>
          <w:p>
            <w:pPr>
              <w:widowControl/>
              <w:spacing w:line="360" w:lineRule="auto"/>
              <w:rPr>
                <w:rFonts w:hint="eastAsia" w:ascii="仿宋_GB2312" w:hAnsi="仿宋_GB2312" w:eastAsia="仿宋_GB2312" w:cs="仿宋_GB2312"/>
                <w:i w:val="0"/>
                <w:iCs w:val="0"/>
                <w:color w:val="auto"/>
                <w:sz w:val="24"/>
                <w:szCs w:val="24"/>
              </w:rPr>
            </w:pPr>
          </w:p>
          <w:p>
            <w:pPr>
              <w:widowControl/>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宅基地坐落平面位置图</w:t>
            </w:r>
          </w:p>
          <w:p>
            <w:pPr>
              <w:spacing w:line="360" w:lineRule="auto"/>
              <w:rPr>
                <w:rFonts w:hint="eastAsia" w:ascii="仿宋_GB2312" w:hAnsi="仿宋_GB2312" w:eastAsia="仿宋_GB2312" w:cs="仿宋_GB2312"/>
                <w:i w:val="0"/>
                <w:iCs w:val="0"/>
                <w:color w:val="auto"/>
                <w:sz w:val="24"/>
                <w:szCs w:val="24"/>
              </w:rPr>
            </w:pPr>
          </w:p>
        </w:tc>
        <w:tc>
          <w:tcPr>
            <w:tcW w:w="8427" w:type="dxa"/>
            <w:gridSpan w:val="9"/>
            <w:vAlign w:val="center"/>
          </w:tcPr>
          <w:p>
            <w:pPr>
              <w:spacing w:line="360" w:lineRule="auto"/>
              <w:rPr>
                <w:rFonts w:hint="eastAsia" w:ascii="仿宋_GB2312" w:hAnsi="仿宋_GB2312" w:eastAsia="仿宋_GB2312" w:cs="仿宋_GB2312"/>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34" w:type="dxa"/>
            <w:vMerge w:val="continue"/>
            <w:vAlign w:val="center"/>
          </w:tcPr>
          <w:p>
            <w:pPr>
              <w:widowControl/>
              <w:spacing w:line="360" w:lineRule="auto"/>
              <w:rPr>
                <w:rFonts w:hint="eastAsia" w:ascii="仿宋_GB2312" w:hAnsi="仿宋_GB2312" w:eastAsia="仿宋_GB2312" w:cs="仿宋_GB2312"/>
                <w:i w:val="0"/>
                <w:iCs w:val="0"/>
                <w:color w:val="auto"/>
                <w:sz w:val="24"/>
                <w:szCs w:val="24"/>
              </w:rPr>
            </w:pPr>
          </w:p>
        </w:tc>
        <w:tc>
          <w:tcPr>
            <w:tcW w:w="8427" w:type="dxa"/>
            <w:gridSpan w:val="9"/>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634" w:type="dxa"/>
            <w:vMerge w:val="continue"/>
            <w:vAlign w:val="center"/>
          </w:tcPr>
          <w:p>
            <w:pPr>
              <w:widowControl/>
              <w:spacing w:line="360" w:lineRule="auto"/>
              <w:rPr>
                <w:rFonts w:hint="eastAsia" w:ascii="仿宋_GB2312" w:hAnsi="仿宋_GB2312" w:eastAsia="仿宋_GB2312" w:cs="仿宋_GB2312"/>
                <w:i w:val="0"/>
                <w:iCs w:val="0"/>
                <w:color w:val="auto"/>
                <w:sz w:val="24"/>
                <w:szCs w:val="24"/>
              </w:rPr>
            </w:pPr>
          </w:p>
        </w:tc>
        <w:tc>
          <w:tcPr>
            <w:tcW w:w="8427" w:type="dxa"/>
            <w:gridSpan w:val="9"/>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 xml:space="preserve">制图人：  </w:t>
            </w:r>
            <w:r>
              <w:rPr>
                <w:rFonts w:hint="eastAsia" w:ascii="仿宋_GB2312" w:hAnsi="仿宋_GB2312" w:eastAsia="仿宋_GB2312" w:cs="仿宋_GB2312"/>
                <w:i w:val="0"/>
                <w:iCs w:val="0"/>
                <w:color w:val="auto"/>
                <w:sz w:val="24"/>
                <w:szCs w:val="24"/>
                <w:lang w:val="en-US" w:eastAsia="zh-CN"/>
              </w:rPr>
              <w:t xml:space="preserve"> </w:t>
            </w:r>
            <w:r>
              <w:rPr>
                <w:rFonts w:hint="eastAsia" w:ascii="仿宋_GB2312" w:hAnsi="仿宋_GB2312" w:eastAsia="仿宋_GB2312" w:cs="仿宋_GB2312"/>
                <w:i w:val="0"/>
                <w:iCs w:val="0"/>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34" w:type="dxa"/>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备注</w:t>
            </w:r>
          </w:p>
        </w:tc>
        <w:tc>
          <w:tcPr>
            <w:tcW w:w="8427" w:type="dxa"/>
            <w:gridSpan w:val="9"/>
            <w:vAlign w:val="center"/>
          </w:tcPr>
          <w:p>
            <w:pPr>
              <w:spacing w:line="360" w:lineRule="auto"/>
              <w:rPr>
                <w:rFonts w:hint="eastAsia" w:ascii="仿宋_GB2312" w:hAnsi="仿宋_GB2312" w:eastAsia="仿宋_GB2312" w:cs="仿宋_GB2312"/>
                <w:i w:val="0"/>
                <w:iCs w:val="0"/>
                <w:color w:val="auto"/>
                <w:sz w:val="24"/>
                <w:szCs w:val="24"/>
              </w:rPr>
            </w:pPr>
            <w:r>
              <w:rPr>
                <w:rFonts w:hint="eastAsia" w:ascii="仿宋_GB2312" w:hAnsi="仿宋_GB2312" w:eastAsia="仿宋_GB2312" w:cs="仿宋_GB2312"/>
                <w:i w:val="0"/>
                <w:iCs w:val="0"/>
                <w:color w:val="auto"/>
                <w:sz w:val="24"/>
                <w:szCs w:val="24"/>
              </w:rPr>
              <w:t>图中需载明宅基地的具体位置、长宽、四至，并标明与永久性参照物的具体距离。</w:t>
            </w:r>
          </w:p>
        </w:tc>
      </w:tr>
    </w:tbl>
    <w:p>
      <w:pPr>
        <w:pStyle w:val="3"/>
        <w:spacing w:line="360" w:lineRule="auto"/>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附件4：旧村庄改造项目基础数据摸查及核查指引</w:t>
      </w:r>
    </w:p>
    <w:p>
      <w:pPr>
        <w:spacing w:line="360" w:lineRule="auto"/>
        <w:jc w:val="center"/>
        <w:rPr>
          <w:rFonts w:hint="eastAsia" w:ascii="仿宋_GB2312" w:hAnsi="仿宋_GB2312" w:eastAsia="仿宋_GB2312" w:cs="仿宋_GB2312"/>
          <w:b/>
          <w:bCs/>
          <w:i w:val="0"/>
          <w:iCs w:val="0"/>
          <w:color w:val="auto"/>
          <w:sz w:val="32"/>
          <w:szCs w:val="32"/>
        </w:rPr>
      </w:pPr>
      <w:r>
        <w:rPr>
          <w:rFonts w:hint="eastAsia" w:ascii="仿宋_GB2312" w:hAnsi="仿宋_GB2312" w:eastAsia="仿宋_GB2312" w:cs="仿宋_GB2312"/>
          <w:b/>
          <w:bCs/>
          <w:i w:val="0"/>
          <w:iCs w:val="0"/>
          <w:color w:val="auto"/>
          <w:sz w:val="32"/>
          <w:szCs w:val="32"/>
        </w:rPr>
        <w:t>旧村庄改造项目基础数据摸查及核查指引</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一、基础数据适用范围</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经调查、核查、公示无异议的基础数据，作为成本测算和改造项目单元土规空间详细规划的依据。</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二、基础数据摸查程序</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（一）调查程序</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①调查单位经委托开展基础数据调查工作。</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②调查单位完成调查测绘工作，形成调查成果。</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③调查成果经村（居）集体经济组织确认后，由村（居）集体经济组织向县“三旧”办申请数据核查。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（二）核查程序</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县“三旧”办可委托第三方技术核查单位开展技术核查。技术核查单位应当在接收数据之日起30个工作日内完成技术核查，并出具技术核查结论。</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（三）公示程序</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旧村庄改造项目基础数据调查成果经县“三旧”办审核后，并在项目所在村集体现场公示5个工作日。公示期间收到异议的，县“三旧”办应当审查异议是否成立，异议成立的应当重新启动核查程序并重新公示，异议不成立的应当向异议人书面说明理由。</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三、调查、核查单位要求</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基础数据调查单位应具备测绘资质，由改造主体组织委托，按新丰县有关要求进行数据调查，数据调查成果由县“三旧”办委托技术单位核查。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（一）调查单位</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调查单位必须具有不动产测绘资质。</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（二）技术核查单位</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技术核查单位由“三旧”办委托，对基础数据调查成果开展技术核查。技术核查单位必须满足但不限于以下要求：</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（1）具有不动产测绘资质；</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（2）达到国家、省、市保密要求，近5年未发生违法违规行为，未发生重大测绘成果质量事故、安全生产事故；</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（3）同一旧村庄改造项目范围内不得由同一家测绘单位实施调查和技术核查工作；</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四、调查内容和要求</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（一）调查内容</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调查成果应包含现状人口数据、现状土地数据、规划管控数据、土地权利数据、房屋产权数据、用地审批数据以及房屋测绘调查数据、文化遗存调查数据等内容。</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（1）现状人口数据。人口数据包含户数、户籍人口数。</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现状土地数据。历史遥感影像数据、第二次全国土地调查数据、最新土地利用现状变更数据、第三次全国国土调查（下称“三调”，“三调”工作期间不予提供）数据等历史与最新土地利用数据、已纳入标图建库图斑等“三旧”改造政策符合性的相关数据。</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（3）土地权利数据。土地权属、土地勘测定界（宗地平面界址）、农村住宅建设用地许可证、国有与集体建设用地使用权证等用地许可和土地权属证明。</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（4）房屋产权数据。房产证或不动产权证等数据，由县自然资源局提供共享。</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（5）用地审批数据。建设用地批文、建设用地规划许可证、建设用地批准书、有效的规划设计条件等数据。</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6）房屋测绘调查数据。以宗地为单位，重点测绘调查住宅和物业的房屋权属证件、房屋所有权人、证载用途、实际用途、证载占地面积、实测占地面积、证载建筑面积、实测建筑面积、实测建基面积、证载结构、实际结构、证载层数、实际层数等。</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（7）文化遗存调查数据。调查单位应对旧村庄改造项目范围内的历史文物、古树名木等开展调查。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（二）调查成果要求</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调查单位完成调查测绘工作后应按调查内容分类整理、建立旧村庄改造项目基础数据库。</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（三）数据核查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技术核查单位开展技术核查。旧村庄改造项目基础数据的技术核查主要是利用抽查方式对基础数据调查成果进行检查，确保调查数据真实。主要技术核查要点如下：</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（1）土地、房屋权利数据技术核查。包含对宗地界址核准、建房批准文件、不动产登记材料的核查。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2）房屋测绘数据技术核查。按照《测绘成果质量检查与验收》的要求开展抽查，包括数据空间参考系、位置精度、属性精度、完整性、规范性、表格统计与房屋图件及数据库内容的一致性。房屋数据抽查比例不少于 30%，抽查均采用随机抽样方法，且样本分布均匀。抽查结果与上报技术核查的成果相较，误差比例小于或等于5%，认定合格；误差比例大于5%的，应予以修正。修正后的数据需按上述要求进行复查。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3）其他数据技术核查，包括数据空间参考系、位置精度、属性精度、完整性、规范性、表格统计与图件及数据库内容的一致性。其中，文化遗存数据需由自然资源局会同文物主管部门组织技术核查单位进行核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（4）数据库成果技术核查。包括完整性（数据图层、数据层内部文件、要素等）、正确性（空间参考系、要素分类、要素属性、要素几何表达）、一致性（格式、拓扑、与入库前源数据等）等检查。</w:t>
      </w:r>
    </w:p>
    <w:p>
      <w:pPr>
        <w:spacing w:line="360" w:lineRule="auto"/>
        <w:ind w:firstLine="640" w:firstLineChars="200"/>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rPr>
        <w:t>（5）调查文档成果技术核查。包括完整性、规范性、正确性等检查。</w:t>
      </w:r>
    </w:p>
    <w:p>
      <w:pPr>
        <w:spacing w:line="360" w:lineRule="auto"/>
        <w:ind w:firstLine="640" w:firstLineChars="200"/>
        <w:rPr>
          <w:rFonts w:hint="eastAsia" w:ascii="仿宋_GB2312" w:hAnsi="仿宋_GB2312" w:eastAsia="仿宋_GB2312" w:cs="仿宋_GB2312"/>
          <w:i w:val="0"/>
          <w:iCs w:val="0"/>
          <w:color w:val="auto"/>
          <w:sz w:val="32"/>
          <w:szCs w:val="32"/>
        </w:rPr>
        <w:sectPr>
          <w:pgSz w:w="11906" w:h="16838"/>
          <w:pgMar w:top="1440" w:right="1474" w:bottom="1440" w:left="1587" w:header="851" w:footer="992" w:gutter="0"/>
          <w:cols w:space="425" w:num="1"/>
          <w:docGrid w:type="lines" w:linePitch="312" w:charSpace="0"/>
        </w:sectPr>
      </w:pPr>
      <w:r>
        <w:rPr>
          <w:rFonts w:hint="eastAsia" w:ascii="仿宋_GB2312" w:hAnsi="仿宋_GB2312" w:eastAsia="仿宋_GB2312" w:cs="仿宋_GB2312"/>
          <w:i w:val="0"/>
          <w:iCs w:val="0"/>
          <w:color w:val="auto"/>
          <w:sz w:val="32"/>
          <w:szCs w:val="32"/>
        </w:rPr>
        <w:t>（6）基础数据调查表格和图件成果核查。包括完整性、规范性、一致性等检查。</w:t>
      </w:r>
    </w:p>
    <w:p>
      <w:pPr>
        <w:spacing w:line="360" w:lineRule="auto"/>
        <w:rPr>
          <w:rFonts w:hint="eastAsia" w:ascii="仿宋_GB2312" w:hAnsi="仿宋_GB2312" w:eastAsia="仿宋_GB2312" w:cs="仿宋_GB2312"/>
          <w:i w:val="0"/>
          <w:iCs w:val="0"/>
          <w:color w:val="auto"/>
        </w:rPr>
      </w:pPr>
    </w:p>
    <w:p>
      <w:pPr>
        <w:spacing w:line="360" w:lineRule="auto"/>
        <w:jc w:val="center"/>
        <w:rPr>
          <w:rFonts w:hint="eastAsia" w:ascii="仿宋_GB2312" w:hAnsi="仿宋_GB2312" w:eastAsia="仿宋_GB2312" w:cs="仿宋_GB2312"/>
          <w:b/>
          <w:bCs/>
          <w:i w:val="0"/>
          <w:iCs w:val="0"/>
          <w:color w:val="auto"/>
          <w:sz w:val="32"/>
          <w:szCs w:val="36"/>
        </w:rPr>
      </w:pPr>
      <w:r>
        <w:rPr>
          <w:rFonts w:hint="eastAsia" w:ascii="仿宋_GB2312" w:hAnsi="仿宋_GB2312" w:eastAsia="仿宋_GB2312" w:cs="仿宋_GB2312"/>
          <w:b/>
          <w:bCs/>
          <w:i w:val="0"/>
          <w:iCs w:val="0"/>
          <w:color w:val="auto"/>
          <w:sz w:val="32"/>
          <w:szCs w:val="36"/>
        </w:rPr>
        <w:t>旧村庄改造基础数据摸查流程图</w:t>
      </w:r>
    </w:p>
    <w:p>
      <w:pPr>
        <w:spacing w:line="360" w:lineRule="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rPr>
        <w:drawing>
          <wp:inline distT="0" distB="0" distL="0" distR="0">
            <wp:extent cx="8863330" cy="33261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63330" cy="3326130"/>
                    </a:xfrm>
                    <a:prstGeom prst="rect">
                      <a:avLst/>
                    </a:prstGeom>
                  </pic:spPr>
                </pic:pic>
              </a:graphicData>
            </a:graphic>
          </wp:inline>
        </w:drawing>
      </w:r>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3715D5-AF49-447A-86B6-EC82DFB5F6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9BA09571-3DBD-461F-AE9F-E634CB9582D6}"/>
  </w:font>
  <w:font w:name="方正小标宋简体">
    <w:panose1 w:val="03000509000000000000"/>
    <w:charset w:val="86"/>
    <w:family w:val="script"/>
    <w:pitch w:val="default"/>
    <w:sig w:usb0="00000001" w:usb1="080E0000" w:usb2="00000000" w:usb3="00000000" w:csb0="00040000" w:csb1="00000000"/>
    <w:embedRegular r:id="rId3" w:fontKey="{7016460B-12B0-42FF-8FF8-85388A13AE94}"/>
  </w:font>
  <w:font w:name="楷体_GB2312">
    <w:panose1 w:val="02010609030101010101"/>
    <w:charset w:val="86"/>
    <w:family w:val="auto"/>
    <w:pitch w:val="default"/>
    <w:sig w:usb0="00000001" w:usb1="080E0000" w:usb2="00000000" w:usb3="00000000" w:csb0="00040000" w:csb1="00000000"/>
    <w:embedRegular r:id="rId4" w:fontKey="{5E2BAFB6-98A0-49AA-8400-5EA405718CE5}"/>
  </w:font>
  <w:font w:name="Cambria Math">
    <w:panose1 w:val="02040503050406030204"/>
    <w:charset w:val="00"/>
    <w:family w:val="roman"/>
    <w:pitch w:val="default"/>
    <w:sig w:usb0="E00002FF" w:usb1="420024FF" w:usb2="00000000" w:usb3="00000000" w:csb0="2000019F" w:csb1="00000000"/>
    <w:embedRegular r:id="rId5" w:fontKey="{A44E70CB-9366-41A7-8121-AEA23D0F6A76}"/>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922178"/>
    </w:sdtPr>
    <w:sdtContent>
      <w:p>
        <w:pPr>
          <w:pStyle w:val="8"/>
          <w:jc w:val="center"/>
          <w:rPr>
            <w:rFonts w:hint="eastAsia"/>
          </w:rPr>
        </w:pPr>
        <w:r>
          <w:fldChar w:fldCharType="begin"/>
        </w:r>
        <w:r>
          <w:instrText xml:space="preserve">PAGE   \* MERGEFORMAT</w:instrText>
        </w:r>
        <w:r>
          <w:fldChar w:fldCharType="separate"/>
        </w:r>
        <w:r>
          <w:rPr>
            <w:lang w:val="zh-CN"/>
          </w:rPr>
          <w:t>20</w:t>
        </w:r>
        <w:r>
          <w:fldChar w:fldCharType="end"/>
        </w:r>
      </w:p>
    </w:sdtContent>
  </w:sdt>
  <w:p>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0B312"/>
    <w:multiLevelType w:val="singleLevel"/>
    <w:tmpl w:val="7AC0B3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NTdlYTM5MmMyOTdkNmIyMWZhY2NkODAyNjc2NmMifQ=="/>
  </w:docVars>
  <w:rsids>
    <w:rsidRoot w:val="009D2C52"/>
    <w:rsid w:val="00004E19"/>
    <w:rsid w:val="00007F58"/>
    <w:rsid w:val="00013C7B"/>
    <w:rsid w:val="0001522C"/>
    <w:rsid w:val="00015788"/>
    <w:rsid w:val="00017C65"/>
    <w:rsid w:val="00022937"/>
    <w:rsid w:val="000255C3"/>
    <w:rsid w:val="0002654E"/>
    <w:rsid w:val="000337FA"/>
    <w:rsid w:val="0003455C"/>
    <w:rsid w:val="00037D75"/>
    <w:rsid w:val="00037EED"/>
    <w:rsid w:val="00037FE2"/>
    <w:rsid w:val="00040472"/>
    <w:rsid w:val="00040FB4"/>
    <w:rsid w:val="000505E9"/>
    <w:rsid w:val="000511A8"/>
    <w:rsid w:val="000513F3"/>
    <w:rsid w:val="00055F5F"/>
    <w:rsid w:val="000620C8"/>
    <w:rsid w:val="000637D5"/>
    <w:rsid w:val="00064870"/>
    <w:rsid w:val="000655FF"/>
    <w:rsid w:val="00073703"/>
    <w:rsid w:val="00073A66"/>
    <w:rsid w:val="0007611D"/>
    <w:rsid w:val="000766AC"/>
    <w:rsid w:val="00080245"/>
    <w:rsid w:val="00092D5C"/>
    <w:rsid w:val="000A07E2"/>
    <w:rsid w:val="000A4B0D"/>
    <w:rsid w:val="000A4C90"/>
    <w:rsid w:val="000A5268"/>
    <w:rsid w:val="000B0B1F"/>
    <w:rsid w:val="000B1672"/>
    <w:rsid w:val="000B2C0F"/>
    <w:rsid w:val="000B3C44"/>
    <w:rsid w:val="000C0428"/>
    <w:rsid w:val="000C18BD"/>
    <w:rsid w:val="000C2BAF"/>
    <w:rsid w:val="000C4A51"/>
    <w:rsid w:val="000C576E"/>
    <w:rsid w:val="000C6A7F"/>
    <w:rsid w:val="000D04D5"/>
    <w:rsid w:val="000D7DBC"/>
    <w:rsid w:val="000D7FA3"/>
    <w:rsid w:val="000E20BC"/>
    <w:rsid w:val="000E6F17"/>
    <w:rsid w:val="000E7AC9"/>
    <w:rsid w:val="000F0094"/>
    <w:rsid w:val="000F09C2"/>
    <w:rsid w:val="000F2A86"/>
    <w:rsid w:val="000F4878"/>
    <w:rsid w:val="000F4A72"/>
    <w:rsid w:val="000F5E00"/>
    <w:rsid w:val="00100F74"/>
    <w:rsid w:val="00111C95"/>
    <w:rsid w:val="00113AE5"/>
    <w:rsid w:val="0011417E"/>
    <w:rsid w:val="00115451"/>
    <w:rsid w:val="0011646F"/>
    <w:rsid w:val="00116686"/>
    <w:rsid w:val="00120DBE"/>
    <w:rsid w:val="00122F00"/>
    <w:rsid w:val="00130A95"/>
    <w:rsid w:val="00134772"/>
    <w:rsid w:val="00135A5A"/>
    <w:rsid w:val="00135FDE"/>
    <w:rsid w:val="001378A2"/>
    <w:rsid w:val="0014170E"/>
    <w:rsid w:val="00142CD0"/>
    <w:rsid w:val="001447E6"/>
    <w:rsid w:val="00157C20"/>
    <w:rsid w:val="00157C72"/>
    <w:rsid w:val="00157DDE"/>
    <w:rsid w:val="00162CE5"/>
    <w:rsid w:val="00164087"/>
    <w:rsid w:val="00164DF0"/>
    <w:rsid w:val="00166D29"/>
    <w:rsid w:val="001701D0"/>
    <w:rsid w:val="00170B46"/>
    <w:rsid w:val="00170F4D"/>
    <w:rsid w:val="001722DC"/>
    <w:rsid w:val="00176C8E"/>
    <w:rsid w:val="00176E2A"/>
    <w:rsid w:val="00183202"/>
    <w:rsid w:val="00183A39"/>
    <w:rsid w:val="001960D5"/>
    <w:rsid w:val="001A135A"/>
    <w:rsid w:val="001B1CBB"/>
    <w:rsid w:val="001B2B64"/>
    <w:rsid w:val="001B3D6F"/>
    <w:rsid w:val="001C0D9D"/>
    <w:rsid w:val="001C1191"/>
    <w:rsid w:val="001C1D3E"/>
    <w:rsid w:val="001C4A5D"/>
    <w:rsid w:val="001D254C"/>
    <w:rsid w:val="001D2A25"/>
    <w:rsid w:val="001D39E2"/>
    <w:rsid w:val="001D4B13"/>
    <w:rsid w:val="001D4DF5"/>
    <w:rsid w:val="001E23E2"/>
    <w:rsid w:val="001F07C7"/>
    <w:rsid w:val="001F529E"/>
    <w:rsid w:val="00201FB3"/>
    <w:rsid w:val="002066C6"/>
    <w:rsid w:val="00210BC3"/>
    <w:rsid w:val="00217733"/>
    <w:rsid w:val="0022667B"/>
    <w:rsid w:val="00230F32"/>
    <w:rsid w:val="0023236D"/>
    <w:rsid w:val="00234E19"/>
    <w:rsid w:val="00235731"/>
    <w:rsid w:val="002406C6"/>
    <w:rsid w:val="0024163C"/>
    <w:rsid w:val="0024319B"/>
    <w:rsid w:val="002446AB"/>
    <w:rsid w:val="002447F2"/>
    <w:rsid w:val="00246E25"/>
    <w:rsid w:val="0025256B"/>
    <w:rsid w:val="00252EFD"/>
    <w:rsid w:val="00253B0C"/>
    <w:rsid w:val="002579C6"/>
    <w:rsid w:val="00257EC1"/>
    <w:rsid w:val="00267242"/>
    <w:rsid w:val="00273D25"/>
    <w:rsid w:val="00276707"/>
    <w:rsid w:val="00282F00"/>
    <w:rsid w:val="00285059"/>
    <w:rsid w:val="00285F0B"/>
    <w:rsid w:val="00295F6B"/>
    <w:rsid w:val="002963FA"/>
    <w:rsid w:val="002A352E"/>
    <w:rsid w:val="002A4F61"/>
    <w:rsid w:val="002A77ED"/>
    <w:rsid w:val="002B00BF"/>
    <w:rsid w:val="002B02AC"/>
    <w:rsid w:val="002B2DE6"/>
    <w:rsid w:val="002C404A"/>
    <w:rsid w:val="002C41A4"/>
    <w:rsid w:val="002C76C2"/>
    <w:rsid w:val="002D05F2"/>
    <w:rsid w:val="002D1122"/>
    <w:rsid w:val="002D1574"/>
    <w:rsid w:val="002D5710"/>
    <w:rsid w:val="002D611F"/>
    <w:rsid w:val="002D6446"/>
    <w:rsid w:val="002E0BBA"/>
    <w:rsid w:val="002E2204"/>
    <w:rsid w:val="002E44FB"/>
    <w:rsid w:val="002E6A5D"/>
    <w:rsid w:val="002E7D8D"/>
    <w:rsid w:val="002F1ECC"/>
    <w:rsid w:val="002F318A"/>
    <w:rsid w:val="0030070A"/>
    <w:rsid w:val="00301DE9"/>
    <w:rsid w:val="00304697"/>
    <w:rsid w:val="003056FE"/>
    <w:rsid w:val="00306573"/>
    <w:rsid w:val="0030791D"/>
    <w:rsid w:val="003205D3"/>
    <w:rsid w:val="0033362A"/>
    <w:rsid w:val="00335492"/>
    <w:rsid w:val="003435DF"/>
    <w:rsid w:val="003448F8"/>
    <w:rsid w:val="00344D55"/>
    <w:rsid w:val="003450B0"/>
    <w:rsid w:val="003470DF"/>
    <w:rsid w:val="00353C02"/>
    <w:rsid w:val="00353FC2"/>
    <w:rsid w:val="003550E9"/>
    <w:rsid w:val="00357BF2"/>
    <w:rsid w:val="0036068D"/>
    <w:rsid w:val="003653A7"/>
    <w:rsid w:val="00365853"/>
    <w:rsid w:val="00367EA3"/>
    <w:rsid w:val="00372942"/>
    <w:rsid w:val="00373B15"/>
    <w:rsid w:val="00373EB4"/>
    <w:rsid w:val="00375B64"/>
    <w:rsid w:val="003761FC"/>
    <w:rsid w:val="00390C8C"/>
    <w:rsid w:val="00393773"/>
    <w:rsid w:val="00393E69"/>
    <w:rsid w:val="00394A6B"/>
    <w:rsid w:val="00395A57"/>
    <w:rsid w:val="00396AC9"/>
    <w:rsid w:val="003A0642"/>
    <w:rsid w:val="003A1E0E"/>
    <w:rsid w:val="003A2119"/>
    <w:rsid w:val="003A2A56"/>
    <w:rsid w:val="003A3844"/>
    <w:rsid w:val="003A47A8"/>
    <w:rsid w:val="003A5A82"/>
    <w:rsid w:val="003A7DDF"/>
    <w:rsid w:val="003B12FD"/>
    <w:rsid w:val="003B3B5E"/>
    <w:rsid w:val="003B4A17"/>
    <w:rsid w:val="003C244E"/>
    <w:rsid w:val="003C5874"/>
    <w:rsid w:val="003C69C0"/>
    <w:rsid w:val="003D24D3"/>
    <w:rsid w:val="003E6AE8"/>
    <w:rsid w:val="003F4778"/>
    <w:rsid w:val="003F7373"/>
    <w:rsid w:val="003F760C"/>
    <w:rsid w:val="00400EB4"/>
    <w:rsid w:val="00403316"/>
    <w:rsid w:val="004042F2"/>
    <w:rsid w:val="00406680"/>
    <w:rsid w:val="00407211"/>
    <w:rsid w:val="00414247"/>
    <w:rsid w:val="00416FF9"/>
    <w:rsid w:val="00420C44"/>
    <w:rsid w:val="004261E9"/>
    <w:rsid w:val="00430987"/>
    <w:rsid w:val="00432FE1"/>
    <w:rsid w:val="0043504D"/>
    <w:rsid w:val="0043641F"/>
    <w:rsid w:val="004367CB"/>
    <w:rsid w:val="00441BC6"/>
    <w:rsid w:val="00441D7D"/>
    <w:rsid w:val="00442DF7"/>
    <w:rsid w:val="004459DA"/>
    <w:rsid w:val="004512D8"/>
    <w:rsid w:val="004558DE"/>
    <w:rsid w:val="00471907"/>
    <w:rsid w:val="00471F70"/>
    <w:rsid w:val="00473A24"/>
    <w:rsid w:val="00474020"/>
    <w:rsid w:val="004740AB"/>
    <w:rsid w:val="00474BAB"/>
    <w:rsid w:val="004761FE"/>
    <w:rsid w:val="00476C47"/>
    <w:rsid w:val="00487BC2"/>
    <w:rsid w:val="004934ED"/>
    <w:rsid w:val="0049718C"/>
    <w:rsid w:val="004A0F99"/>
    <w:rsid w:val="004A1AD2"/>
    <w:rsid w:val="004A2100"/>
    <w:rsid w:val="004A2C72"/>
    <w:rsid w:val="004A394F"/>
    <w:rsid w:val="004A3F52"/>
    <w:rsid w:val="004A75D0"/>
    <w:rsid w:val="004A75E0"/>
    <w:rsid w:val="004B1EE4"/>
    <w:rsid w:val="004B403A"/>
    <w:rsid w:val="004B53D0"/>
    <w:rsid w:val="004B53E6"/>
    <w:rsid w:val="004B7CAA"/>
    <w:rsid w:val="004C327B"/>
    <w:rsid w:val="004C5755"/>
    <w:rsid w:val="004C64A9"/>
    <w:rsid w:val="004C6900"/>
    <w:rsid w:val="004D0FC9"/>
    <w:rsid w:val="004D139F"/>
    <w:rsid w:val="004D426A"/>
    <w:rsid w:val="004E6256"/>
    <w:rsid w:val="004E7DD4"/>
    <w:rsid w:val="004F0B88"/>
    <w:rsid w:val="004F10D3"/>
    <w:rsid w:val="004F1806"/>
    <w:rsid w:val="004F2B5B"/>
    <w:rsid w:val="004F697D"/>
    <w:rsid w:val="00500304"/>
    <w:rsid w:val="00500EB2"/>
    <w:rsid w:val="00504EA5"/>
    <w:rsid w:val="005053CD"/>
    <w:rsid w:val="00506A1D"/>
    <w:rsid w:val="00510A11"/>
    <w:rsid w:val="00513799"/>
    <w:rsid w:val="00515163"/>
    <w:rsid w:val="00522E97"/>
    <w:rsid w:val="00523333"/>
    <w:rsid w:val="00524AF0"/>
    <w:rsid w:val="00527DFA"/>
    <w:rsid w:val="00534FF0"/>
    <w:rsid w:val="005364C3"/>
    <w:rsid w:val="005469E3"/>
    <w:rsid w:val="00551876"/>
    <w:rsid w:val="005537EB"/>
    <w:rsid w:val="0055402A"/>
    <w:rsid w:val="00555323"/>
    <w:rsid w:val="00556F14"/>
    <w:rsid w:val="00564D2F"/>
    <w:rsid w:val="00565D38"/>
    <w:rsid w:val="00566B06"/>
    <w:rsid w:val="00567A91"/>
    <w:rsid w:val="005723F8"/>
    <w:rsid w:val="00574D23"/>
    <w:rsid w:val="00576ECA"/>
    <w:rsid w:val="00577970"/>
    <w:rsid w:val="005869F2"/>
    <w:rsid w:val="00587F11"/>
    <w:rsid w:val="005923BD"/>
    <w:rsid w:val="00592658"/>
    <w:rsid w:val="00594DD7"/>
    <w:rsid w:val="005A37D7"/>
    <w:rsid w:val="005A6809"/>
    <w:rsid w:val="005B19BC"/>
    <w:rsid w:val="005B2A11"/>
    <w:rsid w:val="005B696A"/>
    <w:rsid w:val="005C02F0"/>
    <w:rsid w:val="005C264C"/>
    <w:rsid w:val="005C2B8F"/>
    <w:rsid w:val="005C3270"/>
    <w:rsid w:val="005C3485"/>
    <w:rsid w:val="005D1321"/>
    <w:rsid w:val="005D1F78"/>
    <w:rsid w:val="005D3A20"/>
    <w:rsid w:val="005D6BE9"/>
    <w:rsid w:val="005D78D1"/>
    <w:rsid w:val="005E0561"/>
    <w:rsid w:val="005E196A"/>
    <w:rsid w:val="005E1B2D"/>
    <w:rsid w:val="005E3A68"/>
    <w:rsid w:val="005F0412"/>
    <w:rsid w:val="005F5714"/>
    <w:rsid w:val="005F72B3"/>
    <w:rsid w:val="0060069D"/>
    <w:rsid w:val="00601CBB"/>
    <w:rsid w:val="006052F8"/>
    <w:rsid w:val="00605D31"/>
    <w:rsid w:val="0060607A"/>
    <w:rsid w:val="00607F29"/>
    <w:rsid w:val="00624566"/>
    <w:rsid w:val="006255F5"/>
    <w:rsid w:val="00630EDF"/>
    <w:rsid w:val="00632230"/>
    <w:rsid w:val="006333E4"/>
    <w:rsid w:val="00634407"/>
    <w:rsid w:val="00640DD1"/>
    <w:rsid w:val="006425DE"/>
    <w:rsid w:val="0064689D"/>
    <w:rsid w:val="006502DB"/>
    <w:rsid w:val="00653BBF"/>
    <w:rsid w:val="00654CDD"/>
    <w:rsid w:val="00655316"/>
    <w:rsid w:val="006565BF"/>
    <w:rsid w:val="00660491"/>
    <w:rsid w:val="00660BA5"/>
    <w:rsid w:val="00663B1A"/>
    <w:rsid w:val="0066471A"/>
    <w:rsid w:val="006741B6"/>
    <w:rsid w:val="00677E4B"/>
    <w:rsid w:val="00683214"/>
    <w:rsid w:val="00683672"/>
    <w:rsid w:val="00683B3C"/>
    <w:rsid w:val="00687018"/>
    <w:rsid w:val="00687E47"/>
    <w:rsid w:val="006928EB"/>
    <w:rsid w:val="006934BB"/>
    <w:rsid w:val="00696CE6"/>
    <w:rsid w:val="006975FD"/>
    <w:rsid w:val="006A388F"/>
    <w:rsid w:val="006A479B"/>
    <w:rsid w:val="006B1574"/>
    <w:rsid w:val="006B182B"/>
    <w:rsid w:val="006B1D29"/>
    <w:rsid w:val="006B3AD3"/>
    <w:rsid w:val="006B483E"/>
    <w:rsid w:val="006C064E"/>
    <w:rsid w:val="006C5F08"/>
    <w:rsid w:val="006C6169"/>
    <w:rsid w:val="006C6678"/>
    <w:rsid w:val="006C6D9F"/>
    <w:rsid w:val="006D0758"/>
    <w:rsid w:val="006D3C3C"/>
    <w:rsid w:val="006D40C3"/>
    <w:rsid w:val="006D7614"/>
    <w:rsid w:val="006D7D59"/>
    <w:rsid w:val="006E21F7"/>
    <w:rsid w:val="006E2E2C"/>
    <w:rsid w:val="006F0172"/>
    <w:rsid w:val="006F500B"/>
    <w:rsid w:val="006F5096"/>
    <w:rsid w:val="00700378"/>
    <w:rsid w:val="00700E00"/>
    <w:rsid w:val="0070200D"/>
    <w:rsid w:val="007032FD"/>
    <w:rsid w:val="0070566F"/>
    <w:rsid w:val="00705988"/>
    <w:rsid w:val="007060A3"/>
    <w:rsid w:val="00710150"/>
    <w:rsid w:val="007121AB"/>
    <w:rsid w:val="00712951"/>
    <w:rsid w:val="00717F86"/>
    <w:rsid w:val="007214A8"/>
    <w:rsid w:val="00721B55"/>
    <w:rsid w:val="00722A2E"/>
    <w:rsid w:val="007244D7"/>
    <w:rsid w:val="0072544C"/>
    <w:rsid w:val="00735C95"/>
    <w:rsid w:val="00735D3D"/>
    <w:rsid w:val="007403BC"/>
    <w:rsid w:val="00743649"/>
    <w:rsid w:val="00743F7C"/>
    <w:rsid w:val="00747BDA"/>
    <w:rsid w:val="007515A3"/>
    <w:rsid w:val="00755BD1"/>
    <w:rsid w:val="00755C49"/>
    <w:rsid w:val="00756303"/>
    <w:rsid w:val="00762278"/>
    <w:rsid w:val="0076301B"/>
    <w:rsid w:val="007656C7"/>
    <w:rsid w:val="00765D7A"/>
    <w:rsid w:val="0077100F"/>
    <w:rsid w:val="00774B0C"/>
    <w:rsid w:val="00774FE6"/>
    <w:rsid w:val="00776C5B"/>
    <w:rsid w:val="00781401"/>
    <w:rsid w:val="007870D4"/>
    <w:rsid w:val="00792D3C"/>
    <w:rsid w:val="00793A14"/>
    <w:rsid w:val="007962CF"/>
    <w:rsid w:val="00796826"/>
    <w:rsid w:val="00796D3F"/>
    <w:rsid w:val="007A05A0"/>
    <w:rsid w:val="007A275E"/>
    <w:rsid w:val="007A2BF2"/>
    <w:rsid w:val="007A2C50"/>
    <w:rsid w:val="007A5F5B"/>
    <w:rsid w:val="007C1FC8"/>
    <w:rsid w:val="007C25A1"/>
    <w:rsid w:val="007C488E"/>
    <w:rsid w:val="007C7524"/>
    <w:rsid w:val="007D3C1B"/>
    <w:rsid w:val="007D5B44"/>
    <w:rsid w:val="007E00CE"/>
    <w:rsid w:val="007E0A0B"/>
    <w:rsid w:val="007E798A"/>
    <w:rsid w:val="007F0DC8"/>
    <w:rsid w:val="007F374E"/>
    <w:rsid w:val="008069E7"/>
    <w:rsid w:val="008103DD"/>
    <w:rsid w:val="008127E6"/>
    <w:rsid w:val="00821C04"/>
    <w:rsid w:val="00824228"/>
    <w:rsid w:val="0082465D"/>
    <w:rsid w:val="0083141F"/>
    <w:rsid w:val="008333B2"/>
    <w:rsid w:val="00834692"/>
    <w:rsid w:val="008348F6"/>
    <w:rsid w:val="00836D28"/>
    <w:rsid w:val="00841C7F"/>
    <w:rsid w:val="00842069"/>
    <w:rsid w:val="00845129"/>
    <w:rsid w:val="008461C8"/>
    <w:rsid w:val="00850166"/>
    <w:rsid w:val="00853B99"/>
    <w:rsid w:val="00855649"/>
    <w:rsid w:val="00860954"/>
    <w:rsid w:val="008623B4"/>
    <w:rsid w:val="00862895"/>
    <w:rsid w:val="008644E3"/>
    <w:rsid w:val="008658C1"/>
    <w:rsid w:val="00866BA0"/>
    <w:rsid w:val="00867685"/>
    <w:rsid w:val="008711A4"/>
    <w:rsid w:val="00874F87"/>
    <w:rsid w:val="0087541E"/>
    <w:rsid w:val="00890E7E"/>
    <w:rsid w:val="00894EFF"/>
    <w:rsid w:val="00896AE2"/>
    <w:rsid w:val="008A3E6B"/>
    <w:rsid w:val="008B1783"/>
    <w:rsid w:val="008B3164"/>
    <w:rsid w:val="008B4868"/>
    <w:rsid w:val="008B6443"/>
    <w:rsid w:val="008B67D6"/>
    <w:rsid w:val="008C000F"/>
    <w:rsid w:val="008C05AF"/>
    <w:rsid w:val="008C61E8"/>
    <w:rsid w:val="008D7295"/>
    <w:rsid w:val="008E1125"/>
    <w:rsid w:val="008E36EB"/>
    <w:rsid w:val="008F0425"/>
    <w:rsid w:val="008F3E88"/>
    <w:rsid w:val="008F5D53"/>
    <w:rsid w:val="0090067C"/>
    <w:rsid w:val="00900A91"/>
    <w:rsid w:val="00900B71"/>
    <w:rsid w:val="00903ED6"/>
    <w:rsid w:val="00903F0A"/>
    <w:rsid w:val="009043D5"/>
    <w:rsid w:val="009045DD"/>
    <w:rsid w:val="00906742"/>
    <w:rsid w:val="00910EA8"/>
    <w:rsid w:val="00911E84"/>
    <w:rsid w:val="0091769D"/>
    <w:rsid w:val="0093198C"/>
    <w:rsid w:val="00933C41"/>
    <w:rsid w:val="00933D7E"/>
    <w:rsid w:val="009344D8"/>
    <w:rsid w:val="00935842"/>
    <w:rsid w:val="009407F8"/>
    <w:rsid w:val="00941FBD"/>
    <w:rsid w:val="0095188E"/>
    <w:rsid w:val="0095212E"/>
    <w:rsid w:val="0096041A"/>
    <w:rsid w:val="00962400"/>
    <w:rsid w:val="00962919"/>
    <w:rsid w:val="00963E67"/>
    <w:rsid w:val="00964EC0"/>
    <w:rsid w:val="009717FD"/>
    <w:rsid w:val="00972243"/>
    <w:rsid w:val="0097303C"/>
    <w:rsid w:val="00973348"/>
    <w:rsid w:val="00976436"/>
    <w:rsid w:val="00976C2A"/>
    <w:rsid w:val="009832EB"/>
    <w:rsid w:val="009860AE"/>
    <w:rsid w:val="0098719F"/>
    <w:rsid w:val="00991666"/>
    <w:rsid w:val="00994373"/>
    <w:rsid w:val="00994378"/>
    <w:rsid w:val="009A4C34"/>
    <w:rsid w:val="009A543B"/>
    <w:rsid w:val="009A7CFE"/>
    <w:rsid w:val="009B1875"/>
    <w:rsid w:val="009B3714"/>
    <w:rsid w:val="009B5271"/>
    <w:rsid w:val="009B5277"/>
    <w:rsid w:val="009B75EC"/>
    <w:rsid w:val="009C42DC"/>
    <w:rsid w:val="009C6278"/>
    <w:rsid w:val="009D2C52"/>
    <w:rsid w:val="009D36BE"/>
    <w:rsid w:val="009E39BF"/>
    <w:rsid w:val="009F3C5C"/>
    <w:rsid w:val="009F4554"/>
    <w:rsid w:val="00A029DE"/>
    <w:rsid w:val="00A050D0"/>
    <w:rsid w:val="00A145BA"/>
    <w:rsid w:val="00A14E9B"/>
    <w:rsid w:val="00A1738E"/>
    <w:rsid w:val="00A27BA6"/>
    <w:rsid w:val="00A32551"/>
    <w:rsid w:val="00A32CB8"/>
    <w:rsid w:val="00A333F3"/>
    <w:rsid w:val="00A33751"/>
    <w:rsid w:val="00A33B25"/>
    <w:rsid w:val="00A33E9A"/>
    <w:rsid w:val="00A3732A"/>
    <w:rsid w:val="00A413AF"/>
    <w:rsid w:val="00A42320"/>
    <w:rsid w:val="00A53A46"/>
    <w:rsid w:val="00A6003C"/>
    <w:rsid w:val="00A60349"/>
    <w:rsid w:val="00A60AB0"/>
    <w:rsid w:val="00A64748"/>
    <w:rsid w:val="00A717C1"/>
    <w:rsid w:val="00A72245"/>
    <w:rsid w:val="00A73DB9"/>
    <w:rsid w:val="00A85CC7"/>
    <w:rsid w:val="00A85D23"/>
    <w:rsid w:val="00A86883"/>
    <w:rsid w:val="00A90047"/>
    <w:rsid w:val="00A91CF2"/>
    <w:rsid w:val="00A95840"/>
    <w:rsid w:val="00A978FB"/>
    <w:rsid w:val="00AB247D"/>
    <w:rsid w:val="00AC47B5"/>
    <w:rsid w:val="00AC59EE"/>
    <w:rsid w:val="00AC5D20"/>
    <w:rsid w:val="00AC6AEA"/>
    <w:rsid w:val="00AE4D21"/>
    <w:rsid w:val="00AE5B20"/>
    <w:rsid w:val="00AE61E5"/>
    <w:rsid w:val="00AF12CF"/>
    <w:rsid w:val="00AF3A47"/>
    <w:rsid w:val="00AF6BD4"/>
    <w:rsid w:val="00B03F09"/>
    <w:rsid w:val="00B0435F"/>
    <w:rsid w:val="00B04C85"/>
    <w:rsid w:val="00B06DC8"/>
    <w:rsid w:val="00B1026E"/>
    <w:rsid w:val="00B11DF7"/>
    <w:rsid w:val="00B14ACD"/>
    <w:rsid w:val="00B217F9"/>
    <w:rsid w:val="00B218CC"/>
    <w:rsid w:val="00B21F62"/>
    <w:rsid w:val="00B226B5"/>
    <w:rsid w:val="00B32370"/>
    <w:rsid w:val="00B35665"/>
    <w:rsid w:val="00B37905"/>
    <w:rsid w:val="00B405C5"/>
    <w:rsid w:val="00B408E5"/>
    <w:rsid w:val="00B415A0"/>
    <w:rsid w:val="00B42590"/>
    <w:rsid w:val="00B42661"/>
    <w:rsid w:val="00B42963"/>
    <w:rsid w:val="00B44E9F"/>
    <w:rsid w:val="00B472D1"/>
    <w:rsid w:val="00B52EFA"/>
    <w:rsid w:val="00B55CAC"/>
    <w:rsid w:val="00B62581"/>
    <w:rsid w:val="00B63061"/>
    <w:rsid w:val="00B63272"/>
    <w:rsid w:val="00B66736"/>
    <w:rsid w:val="00B86CDC"/>
    <w:rsid w:val="00B874A1"/>
    <w:rsid w:val="00B97D6B"/>
    <w:rsid w:val="00BA0316"/>
    <w:rsid w:val="00BA2C20"/>
    <w:rsid w:val="00BA6EF7"/>
    <w:rsid w:val="00BB146F"/>
    <w:rsid w:val="00BB3EE4"/>
    <w:rsid w:val="00BD1F54"/>
    <w:rsid w:val="00BD26B4"/>
    <w:rsid w:val="00BD44E1"/>
    <w:rsid w:val="00BD4C9C"/>
    <w:rsid w:val="00BD64A6"/>
    <w:rsid w:val="00BE6465"/>
    <w:rsid w:val="00BF2466"/>
    <w:rsid w:val="00BF34B6"/>
    <w:rsid w:val="00BF5827"/>
    <w:rsid w:val="00C05450"/>
    <w:rsid w:val="00C05A93"/>
    <w:rsid w:val="00C067E3"/>
    <w:rsid w:val="00C10347"/>
    <w:rsid w:val="00C164A7"/>
    <w:rsid w:val="00C2141E"/>
    <w:rsid w:val="00C22FDD"/>
    <w:rsid w:val="00C24FF1"/>
    <w:rsid w:val="00C26095"/>
    <w:rsid w:val="00C26286"/>
    <w:rsid w:val="00C262FE"/>
    <w:rsid w:val="00C30522"/>
    <w:rsid w:val="00C31DA3"/>
    <w:rsid w:val="00C40461"/>
    <w:rsid w:val="00C44484"/>
    <w:rsid w:val="00C445B6"/>
    <w:rsid w:val="00C44B14"/>
    <w:rsid w:val="00C516ED"/>
    <w:rsid w:val="00C52625"/>
    <w:rsid w:val="00C54003"/>
    <w:rsid w:val="00C56157"/>
    <w:rsid w:val="00C5740E"/>
    <w:rsid w:val="00C70C5C"/>
    <w:rsid w:val="00C7426D"/>
    <w:rsid w:val="00C81600"/>
    <w:rsid w:val="00C818DF"/>
    <w:rsid w:val="00C8196A"/>
    <w:rsid w:val="00C84585"/>
    <w:rsid w:val="00C87287"/>
    <w:rsid w:val="00C918AD"/>
    <w:rsid w:val="00C9316F"/>
    <w:rsid w:val="00C95B7A"/>
    <w:rsid w:val="00CA1F28"/>
    <w:rsid w:val="00CA356F"/>
    <w:rsid w:val="00CA429B"/>
    <w:rsid w:val="00CA45A5"/>
    <w:rsid w:val="00CA70B6"/>
    <w:rsid w:val="00CA7F90"/>
    <w:rsid w:val="00CB1410"/>
    <w:rsid w:val="00CB3EFA"/>
    <w:rsid w:val="00CB45C4"/>
    <w:rsid w:val="00CB4B5E"/>
    <w:rsid w:val="00CB670E"/>
    <w:rsid w:val="00CC126F"/>
    <w:rsid w:val="00CC1D8C"/>
    <w:rsid w:val="00CC3F12"/>
    <w:rsid w:val="00CD053E"/>
    <w:rsid w:val="00CD22AA"/>
    <w:rsid w:val="00CD280F"/>
    <w:rsid w:val="00CD2B9D"/>
    <w:rsid w:val="00CD3AD3"/>
    <w:rsid w:val="00CD6FAB"/>
    <w:rsid w:val="00CD765D"/>
    <w:rsid w:val="00CD79E3"/>
    <w:rsid w:val="00CE159E"/>
    <w:rsid w:val="00CE17BC"/>
    <w:rsid w:val="00CE347C"/>
    <w:rsid w:val="00CE5EC9"/>
    <w:rsid w:val="00CF4BDE"/>
    <w:rsid w:val="00CF53F4"/>
    <w:rsid w:val="00CF76D1"/>
    <w:rsid w:val="00CF793D"/>
    <w:rsid w:val="00D00762"/>
    <w:rsid w:val="00D01C9C"/>
    <w:rsid w:val="00D076FA"/>
    <w:rsid w:val="00D1161D"/>
    <w:rsid w:val="00D116A8"/>
    <w:rsid w:val="00D156AB"/>
    <w:rsid w:val="00D20323"/>
    <w:rsid w:val="00D21F46"/>
    <w:rsid w:val="00D24F03"/>
    <w:rsid w:val="00D31BB8"/>
    <w:rsid w:val="00D3474B"/>
    <w:rsid w:val="00D362E0"/>
    <w:rsid w:val="00D37676"/>
    <w:rsid w:val="00D41BC6"/>
    <w:rsid w:val="00D426DC"/>
    <w:rsid w:val="00D44928"/>
    <w:rsid w:val="00D464FB"/>
    <w:rsid w:val="00D52055"/>
    <w:rsid w:val="00D577B8"/>
    <w:rsid w:val="00D60F55"/>
    <w:rsid w:val="00D61A9C"/>
    <w:rsid w:val="00D61D48"/>
    <w:rsid w:val="00D6497A"/>
    <w:rsid w:val="00D7543A"/>
    <w:rsid w:val="00D80B0E"/>
    <w:rsid w:val="00D80DCA"/>
    <w:rsid w:val="00D812E9"/>
    <w:rsid w:val="00D81F25"/>
    <w:rsid w:val="00D826E3"/>
    <w:rsid w:val="00D828D8"/>
    <w:rsid w:val="00D82AF5"/>
    <w:rsid w:val="00D86AD0"/>
    <w:rsid w:val="00D9015C"/>
    <w:rsid w:val="00D958D3"/>
    <w:rsid w:val="00DA0BE6"/>
    <w:rsid w:val="00DA2221"/>
    <w:rsid w:val="00DB077D"/>
    <w:rsid w:val="00DB0D22"/>
    <w:rsid w:val="00DB14B6"/>
    <w:rsid w:val="00DB276B"/>
    <w:rsid w:val="00DB445E"/>
    <w:rsid w:val="00DB4A6E"/>
    <w:rsid w:val="00DB65C5"/>
    <w:rsid w:val="00DB7DF9"/>
    <w:rsid w:val="00DC3823"/>
    <w:rsid w:val="00DC48F8"/>
    <w:rsid w:val="00DC544F"/>
    <w:rsid w:val="00DC683D"/>
    <w:rsid w:val="00DD73A6"/>
    <w:rsid w:val="00DE1A32"/>
    <w:rsid w:val="00DE3A65"/>
    <w:rsid w:val="00DE5D30"/>
    <w:rsid w:val="00DF0935"/>
    <w:rsid w:val="00DF14D1"/>
    <w:rsid w:val="00DF1B14"/>
    <w:rsid w:val="00DF28F1"/>
    <w:rsid w:val="00DF30B2"/>
    <w:rsid w:val="00E028C7"/>
    <w:rsid w:val="00E03D5A"/>
    <w:rsid w:val="00E07A35"/>
    <w:rsid w:val="00E248B7"/>
    <w:rsid w:val="00E279DE"/>
    <w:rsid w:val="00E36C3E"/>
    <w:rsid w:val="00E52940"/>
    <w:rsid w:val="00E52E64"/>
    <w:rsid w:val="00E53D64"/>
    <w:rsid w:val="00E553DE"/>
    <w:rsid w:val="00E55C61"/>
    <w:rsid w:val="00E61527"/>
    <w:rsid w:val="00E621BF"/>
    <w:rsid w:val="00E6416F"/>
    <w:rsid w:val="00E64450"/>
    <w:rsid w:val="00E66162"/>
    <w:rsid w:val="00E75ECE"/>
    <w:rsid w:val="00E8267E"/>
    <w:rsid w:val="00E8294E"/>
    <w:rsid w:val="00E82F0D"/>
    <w:rsid w:val="00E8394B"/>
    <w:rsid w:val="00E86801"/>
    <w:rsid w:val="00E87A2E"/>
    <w:rsid w:val="00EB20E3"/>
    <w:rsid w:val="00EB299F"/>
    <w:rsid w:val="00EB340A"/>
    <w:rsid w:val="00EB6116"/>
    <w:rsid w:val="00EB665E"/>
    <w:rsid w:val="00EC0C46"/>
    <w:rsid w:val="00EC25C9"/>
    <w:rsid w:val="00EC4BA9"/>
    <w:rsid w:val="00EC5034"/>
    <w:rsid w:val="00EC5F64"/>
    <w:rsid w:val="00EC614B"/>
    <w:rsid w:val="00EC67FD"/>
    <w:rsid w:val="00ED1893"/>
    <w:rsid w:val="00ED30E3"/>
    <w:rsid w:val="00ED54D0"/>
    <w:rsid w:val="00ED7924"/>
    <w:rsid w:val="00EE25C2"/>
    <w:rsid w:val="00EE6C3A"/>
    <w:rsid w:val="00EF16E1"/>
    <w:rsid w:val="00EF18CD"/>
    <w:rsid w:val="00EF2B55"/>
    <w:rsid w:val="00EF4ABF"/>
    <w:rsid w:val="00EF4E8F"/>
    <w:rsid w:val="00EF760A"/>
    <w:rsid w:val="00F0146B"/>
    <w:rsid w:val="00F04A9F"/>
    <w:rsid w:val="00F06532"/>
    <w:rsid w:val="00F077BA"/>
    <w:rsid w:val="00F11F6B"/>
    <w:rsid w:val="00F227B6"/>
    <w:rsid w:val="00F25448"/>
    <w:rsid w:val="00F27A7A"/>
    <w:rsid w:val="00F30A6D"/>
    <w:rsid w:val="00F31726"/>
    <w:rsid w:val="00F33C56"/>
    <w:rsid w:val="00F34ADC"/>
    <w:rsid w:val="00F3657D"/>
    <w:rsid w:val="00F40E08"/>
    <w:rsid w:val="00F4267D"/>
    <w:rsid w:val="00F43326"/>
    <w:rsid w:val="00F478BB"/>
    <w:rsid w:val="00F52413"/>
    <w:rsid w:val="00F52C47"/>
    <w:rsid w:val="00F5350B"/>
    <w:rsid w:val="00F5380C"/>
    <w:rsid w:val="00F54A0A"/>
    <w:rsid w:val="00F55178"/>
    <w:rsid w:val="00F551CE"/>
    <w:rsid w:val="00F56F9C"/>
    <w:rsid w:val="00F60C27"/>
    <w:rsid w:val="00F62039"/>
    <w:rsid w:val="00F627F8"/>
    <w:rsid w:val="00F62976"/>
    <w:rsid w:val="00F65490"/>
    <w:rsid w:val="00F67070"/>
    <w:rsid w:val="00F674D4"/>
    <w:rsid w:val="00F71943"/>
    <w:rsid w:val="00F73803"/>
    <w:rsid w:val="00F73A09"/>
    <w:rsid w:val="00F804BC"/>
    <w:rsid w:val="00F84769"/>
    <w:rsid w:val="00F870C5"/>
    <w:rsid w:val="00F91C5A"/>
    <w:rsid w:val="00FA17CB"/>
    <w:rsid w:val="00FA30AD"/>
    <w:rsid w:val="00FB575E"/>
    <w:rsid w:val="00FB6559"/>
    <w:rsid w:val="00FC06FD"/>
    <w:rsid w:val="00FC0A30"/>
    <w:rsid w:val="00FC4180"/>
    <w:rsid w:val="00FC51EB"/>
    <w:rsid w:val="00FE29CC"/>
    <w:rsid w:val="00FE3930"/>
    <w:rsid w:val="00FE3B4B"/>
    <w:rsid w:val="00FE3BD7"/>
    <w:rsid w:val="00FE6BEF"/>
    <w:rsid w:val="00FE7FB8"/>
    <w:rsid w:val="00FF0783"/>
    <w:rsid w:val="00FF2900"/>
    <w:rsid w:val="00FF29CA"/>
    <w:rsid w:val="00FF5502"/>
    <w:rsid w:val="01120977"/>
    <w:rsid w:val="01945A3C"/>
    <w:rsid w:val="01EC232C"/>
    <w:rsid w:val="025239B8"/>
    <w:rsid w:val="02BE0855"/>
    <w:rsid w:val="03F33D65"/>
    <w:rsid w:val="04BC40B1"/>
    <w:rsid w:val="05876A80"/>
    <w:rsid w:val="06603FC3"/>
    <w:rsid w:val="06CF0F9E"/>
    <w:rsid w:val="07AB102B"/>
    <w:rsid w:val="07D162FA"/>
    <w:rsid w:val="07EF0EF5"/>
    <w:rsid w:val="083E235A"/>
    <w:rsid w:val="09A563D2"/>
    <w:rsid w:val="0BDB2FC4"/>
    <w:rsid w:val="0C6D53D6"/>
    <w:rsid w:val="0DD0676E"/>
    <w:rsid w:val="0E1B57DF"/>
    <w:rsid w:val="0E627D81"/>
    <w:rsid w:val="0EA57377"/>
    <w:rsid w:val="110E0EAE"/>
    <w:rsid w:val="121A27C5"/>
    <w:rsid w:val="122660AD"/>
    <w:rsid w:val="13ED4313"/>
    <w:rsid w:val="14253517"/>
    <w:rsid w:val="14E50153"/>
    <w:rsid w:val="15217B40"/>
    <w:rsid w:val="16BC2A5E"/>
    <w:rsid w:val="19B51F03"/>
    <w:rsid w:val="1A0C0942"/>
    <w:rsid w:val="1AE41E9C"/>
    <w:rsid w:val="1B06615B"/>
    <w:rsid w:val="1B171742"/>
    <w:rsid w:val="1B683F17"/>
    <w:rsid w:val="1BD15734"/>
    <w:rsid w:val="1C72153E"/>
    <w:rsid w:val="1C843FD2"/>
    <w:rsid w:val="1CF03C41"/>
    <w:rsid w:val="1D0D4437"/>
    <w:rsid w:val="1D70794C"/>
    <w:rsid w:val="1D8347F7"/>
    <w:rsid w:val="1DE0368C"/>
    <w:rsid w:val="1E177FEB"/>
    <w:rsid w:val="1E2A7152"/>
    <w:rsid w:val="1E782474"/>
    <w:rsid w:val="1F0B6B39"/>
    <w:rsid w:val="203F13A2"/>
    <w:rsid w:val="20F17C29"/>
    <w:rsid w:val="2150212D"/>
    <w:rsid w:val="2230133A"/>
    <w:rsid w:val="224040A7"/>
    <w:rsid w:val="22A124F4"/>
    <w:rsid w:val="24641345"/>
    <w:rsid w:val="25402683"/>
    <w:rsid w:val="25AA4AA9"/>
    <w:rsid w:val="2675141D"/>
    <w:rsid w:val="268565D3"/>
    <w:rsid w:val="26961F2F"/>
    <w:rsid w:val="270E377A"/>
    <w:rsid w:val="272C21D8"/>
    <w:rsid w:val="275F4BFF"/>
    <w:rsid w:val="27B45FDD"/>
    <w:rsid w:val="27DC0636"/>
    <w:rsid w:val="291E0C23"/>
    <w:rsid w:val="292777CA"/>
    <w:rsid w:val="29782ED4"/>
    <w:rsid w:val="298778BE"/>
    <w:rsid w:val="2ABF3809"/>
    <w:rsid w:val="2C2D3141"/>
    <w:rsid w:val="2D26144C"/>
    <w:rsid w:val="2E1B3276"/>
    <w:rsid w:val="2E80498D"/>
    <w:rsid w:val="2EA56D66"/>
    <w:rsid w:val="2EB11F93"/>
    <w:rsid w:val="303B7907"/>
    <w:rsid w:val="30931B39"/>
    <w:rsid w:val="313D31C9"/>
    <w:rsid w:val="31F4062B"/>
    <w:rsid w:val="32395CF2"/>
    <w:rsid w:val="32575AC8"/>
    <w:rsid w:val="32DC2998"/>
    <w:rsid w:val="33886967"/>
    <w:rsid w:val="339814C1"/>
    <w:rsid w:val="33A663D1"/>
    <w:rsid w:val="33AE5502"/>
    <w:rsid w:val="341841CF"/>
    <w:rsid w:val="34394CCF"/>
    <w:rsid w:val="34A17234"/>
    <w:rsid w:val="34EF3857"/>
    <w:rsid w:val="34F21D19"/>
    <w:rsid w:val="34FC209B"/>
    <w:rsid w:val="351B6186"/>
    <w:rsid w:val="36610F3D"/>
    <w:rsid w:val="36864DFD"/>
    <w:rsid w:val="36E54509"/>
    <w:rsid w:val="370B7319"/>
    <w:rsid w:val="377E2623"/>
    <w:rsid w:val="379D7E79"/>
    <w:rsid w:val="3A031934"/>
    <w:rsid w:val="3A54456E"/>
    <w:rsid w:val="3AD806AE"/>
    <w:rsid w:val="3B570F48"/>
    <w:rsid w:val="3B763529"/>
    <w:rsid w:val="3B9C2188"/>
    <w:rsid w:val="3BD73486"/>
    <w:rsid w:val="3C492E2C"/>
    <w:rsid w:val="3C745A07"/>
    <w:rsid w:val="3CC11156"/>
    <w:rsid w:val="3F447F85"/>
    <w:rsid w:val="3FA32B5A"/>
    <w:rsid w:val="3FAC34A0"/>
    <w:rsid w:val="405A76E6"/>
    <w:rsid w:val="40611D7C"/>
    <w:rsid w:val="40E96D15"/>
    <w:rsid w:val="40F1117B"/>
    <w:rsid w:val="40F463E7"/>
    <w:rsid w:val="411E277B"/>
    <w:rsid w:val="413F6F1C"/>
    <w:rsid w:val="41A4083D"/>
    <w:rsid w:val="41C0434A"/>
    <w:rsid w:val="41C840CB"/>
    <w:rsid w:val="4315233E"/>
    <w:rsid w:val="4333237B"/>
    <w:rsid w:val="4373107E"/>
    <w:rsid w:val="43CF110E"/>
    <w:rsid w:val="46085673"/>
    <w:rsid w:val="46136165"/>
    <w:rsid w:val="48AD2F22"/>
    <w:rsid w:val="4937312C"/>
    <w:rsid w:val="49392CF9"/>
    <w:rsid w:val="49A57044"/>
    <w:rsid w:val="49D56D93"/>
    <w:rsid w:val="4A2B2D02"/>
    <w:rsid w:val="4AAF0AC8"/>
    <w:rsid w:val="4AD335BE"/>
    <w:rsid w:val="4B00553D"/>
    <w:rsid w:val="4CF654BB"/>
    <w:rsid w:val="4D293D09"/>
    <w:rsid w:val="4D327244"/>
    <w:rsid w:val="4D4F6745"/>
    <w:rsid w:val="4D6745D2"/>
    <w:rsid w:val="4DA953DB"/>
    <w:rsid w:val="4DC376CD"/>
    <w:rsid w:val="4E6D0481"/>
    <w:rsid w:val="4E703E42"/>
    <w:rsid w:val="4EE06111"/>
    <w:rsid w:val="4FA65038"/>
    <w:rsid w:val="4FE5571F"/>
    <w:rsid w:val="50121479"/>
    <w:rsid w:val="503D70AC"/>
    <w:rsid w:val="51373D1B"/>
    <w:rsid w:val="52451DA8"/>
    <w:rsid w:val="5351730F"/>
    <w:rsid w:val="55DA2BEF"/>
    <w:rsid w:val="574109A7"/>
    <w:rsid w:val="575963B2"/>
    <w:rsid w:val="5787075E"/>
    <w:rsid w:val="57B41D70"/>
    <w:rsid w:val="588D6227"/>
    <w:rsid w:val="589566EC"/>
    <w:rsid w:val="58AA7362"/>
    <w:rsid w:val="58BF5389"/>
    <w:rsid w:val="596A3C4A"/>
    <w:rsid w:val="597353FD"/>
    <w:rsid w:val="59913207"/>
    <w:rsid w:val="5BDD2443"/>
    <w:rsid w:val="5C6802FC"/>
    <w:rsid w:val="5CA00006"/>
    <w:rsid w:val="5CB31352"/>
    <w:rsid w:val="5D017B18"/>
    <w:rsid w:val="5D786C40"/>
    <w:rsid w:val="5DBF1E6A"/>
    <w:rsid w:val="5E1E3249"/>
    <w:rsid w:val="5F0979AF"/>
    <w:rsid w:val="5F0F0C9A"/>
    <w:rsid w:val="5F8C7814"/>
    <w:rsid w:val="5FE12CD3"/>
    <w:rsid w:val="60275032"/>
    <w:rsid w:val="60986A4B"/>
    <w:rsid w:val="609D5714"/>
    <w:rsid w:val="61470931"/>
    <w:rsid w:val="61953DB7"/>
    <w:rsid w:val="63A9157A"/>
    <w:rsid w:val="63B05A62"/>
    <w:rsid w:val="64544CD0"/>
    <w:rsid w:val="64C07236"/>
    <w:rsid w:val="651A209E"/>
    <w:rsid w:val="657F5201"/>
    <w:rsid w:val="65B92B84"/>
    <w:rsid w:val="67174374"/>
    <w:rsid w:val="6726404B"/>
    <w:rsid w:val="673564B6"/>
    <w:rsid w:val="67874E4B"/>
    <w:rsid w:val="67FD0AAA"/>
    <w:rsid w:val="68C9445B"/>
    <w:rsid w:val="698C1083"/>
    <w:rsid w:val="69B66B7F"/>
    <w:rsid w:val="6A32433C"/>
    <w:rsid w:val="6C285D2F"/>
    <w:rsid w:val="6C287BC9"/>
    <w:rsid w:val="6CA04015"/>
    <w:rsid w:val="6D4D7514"/>
    <w:rsid w:val="6DC3560C"/>
    <w:rsid w:val="6DC5087A"/>
    <w:rsid w:val="6E48587E"/>
    <w:rsid w:val="6EB82155"/>
    <w:rsid w:val="6EFD7C3B"/>
    <w:rsid w:val="6F0C537A"/>
    <w:rsid w:val="6F384A72"/>
    <w:rsid w:val="70BB1488"/>
    <w:rsid w:val="72582796"/>
    <w:rsid w:val="727022BA"/>
    <w:rsid w:val="72E20FE0"/>
    <w:rsid w:val="73376AF7"/>
    <w:rsid w:val="74213159"/>
    <w:rsid w:val="754A5B8B"/>
    <w:rsid w:val="764B6235"/>
    <w:rsid w:val="7689036A"/>
    <w:rsid w:val="77065065"/>
    <w:rsid w:val="774D426A"/>
    <w:rsid w:val="77B10F39"/>
    <w:rsid w:val="7828121C"/>
    <w:rsid w:val="789F6D1F"/>
    <w:rsid w:val="78A73E86"/>
    <w:rsid w:val="79D13ADE"/>
    <w:rsid w:val="7AC35E4F"/>
    <w:rsid w:val="7B177BE1"/>
    <w:rsid w:val="7B196EB1"/>
    <w:rsid w:val="7C63318F"/>
    <w:rsid w:val="7C6A03BC"/>
    <w:rsid w:val="7C8C06CD"/>
    <w:rsid w:val="7D9148B4"/>
    <w:rsid w:val="7DBD1B4B"/>
    <w:rsid w:val="7DC34122"/>
    <w:rsid w:val="7ED02325"/>
    <w:rsid w:val="7F353847"/>
    <w:rsid w:val="7F3907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jc w:val="center"/>
      <w:outlineLvl w:val="0"/>
    </w:pPr>
    <w:rPr>
      <w:b/>
      <w:bCs/>
      <w:kern w:val="44"/>
      <w:sz w:val="32"/>
      <w:szCs w:val="44"/>
    </w:rPr>
  </w:style>
  <w:style w:type="paragraph" w:styleId="3">
    <w:name w:val="heading 2"/>
    <w:basedOn w:val="1"/>
    <w:next w:val="1"/>
    <w:unhideWhenUsed/>
    <w:qFormat/>
    <w:uiPriority w:val="9"/>
    <w:pPr>
      <w:keepNext/>
      <w:keepLines/>
      <w:outlineLvl w:val="1"/>
    </w:pPr>
    <w:rPr>
      <w:rFonts w:ascii="仿宋" w:hAnsiTheme="majorHAnsi" w:cstheme="majorBidi"/>
      <w:b/>
      <w:bCs/>
      <w:sz w:val="30"/>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semiHidden/>
    <w:unhideWhenUsed/>
    <w:qFormat/>
    <w:uiPriority w:val="99"/>
    <w:rPr>
      <w:b/>
      <w:bCs/>
    </w:rPr>
  </w:style>
  <w:style w:type="paragraph" w:styleId="6">
    <w:name w:val="annotation text"/>
    <w:basedOn w:val="1"/>
    <w:link w:val="21"/>
    <w:semiHidden/>
    <w:unhideWhenUsed/>
    <w:qFormat/>
    <w:uiPriority w:val="99"/>
    <w:pPr>
      <w:jc w:val="left"/>
    </w:pPr>
  </w:style>
  <w:style w:type="paragraph" w:styleId="7">
    <w:name w:val="Balloon Text"/>
    <w:basedOn w:val="1"/>
    <w:link w:val="19"/>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1"/>
    <w:link w:val="9"/>
    <w:qFormat/>
    <w:uiPriority w:val="99"/>
    <w:rPr>
      <w:sz w:val="18"/>
      <w:szCs w:val="18"/>
    </w:rPr>
  </w:style>
  <w:style w:type="character" w:customStyle="1" w:styleId="17">
    <w:name w:val="页脚 字符"/>
    <w:basedOn w:val="11"/>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1"/>
    <w:link w:val="7"/>
    <w:semiHidden/>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1"/>
    <w:link w:val="6"/>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5"/>
    <w:semiHidden/>
    <w:qFormat/>
    <w:uiPriority w:val="99"/>
    <w:rPr>
      <w:rFonts w:asciiTheme="minorHAnsi" w:hAnsiTheme="minorHAnsi" w:eastAsiaTheme="minorEastAsia" w:cstheme="minorBidi"/>
      <w:b/>
      <w:bCs/>
      <w:kern w:val="2"/>
      <w:sz w:val="21"/>
      <w:szCs w:val="22"/>
    </w:rPr>
  </w:style>
  <w:style w:type="character" w:customStyle="1" w:styleId="23">
    <w:name w:val="不明显强调1"/>
    <w:basedOn w:val="11"/>
    <w:qFormat/>
    <w:uiPriority w:val="19"/>
    <w:rPr>
      <w:rFonts w:eastAsia="仿宋"/>
      <w:iCs/>
      <w:color w:val="auto"/>
      <w:sz w:val="24"/>
    </w:rPr>
  </w:style>
  <w:style w:type="character" w:customStyle="1" w:styleId="24">
    <w:name w:val="标题 3 字符"/>
    <w:basedOn w:val="11"/>
    <w:link w:val="4"/>
    <w:qFormat/>
    <w:uiPriority w:val="9"/>
    <w:rPr>
      <w:rFonts w:asciiTheme="minorHAnsi" w:hAnsiTheme="minorHAnsi" w:eastAsiaTheme="minorEastAsia" w:cstheme="minorBidi"/>
      <w:b/>
      <w:bCs/>
      <w:kern w:val="2"/>
      <w:sz w:val="32"/>
      <w:szCs w:val="32"/>
    </w:rPr>
  </w:style>
  <w:style w:type="character" w:styleId="25">
    <w:name w:val="Placeholder Text"/>
    <w:basedOn w:val="11"/>
    <w:semiHidden/>
    <w:qFormat/>
    <w:uiPriority w:val="99"/>
    <w:rPr>
      <w:color w:val="808080"/>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11285</Words>
  <Characters>11829</Characters>
  <Lines>93</Lines>
  <Paragraphs>26</Paragraphs>
  <TotalTime>843</TotalTime>
  <ScaleCrop>false</ScaleCrop>
  <LinksUpToDate>false</LinksUpToDate>
  <CharactersWithSpaces>12493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2023-09-07T07:53:00Z</dcterms:created>
  <dc:creator>seven</dc:creator>
  <cp:lastModifiedBy>Administrator</cp:lastModifiedBy>
  <cp:lastPrinted>2020-07-22T23:32:00Z</cp:lastPrinted>
  <dcterms:modified xsi:type="dcterms:W3CDTF">2024-10-14T03:44:33Z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commondata">
    <vt:lpwstr>eyJoZGlkIjoiYzY0NzA2N2I3Y2JkOGI5MTZmNDgzZmRiMTU5MTY0MzMifQ==</vt:lpwstr>
  </property>
  <property fmtid="{D5CDD505-2E9C-101B-9397-08002B2CF9AE}" pid="4" name="ICV">
    <vt:lpwstr>AF5046B7491D4DF59C8AFCCD1A26153B_13</vt:lpwstr>
  </property>
</Properties>
</file>