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新丰县</w:t>
      </w:r>
      <w:r>
        <w:rPr>
          <w:rFonts w:hint="eastAsia" w:ascii="方正小标宋简体" w:hAnsi="方正小标宋简体" w:eastAsia="方正小标宋简体" w:cs="方正小标宋简体"/>
          <w:sz w:val="44"/>
          <w:szCs w:val="44"/>
          <w:lang w:val="en-US" w:eastAsia="zh-CN"/>
        </w:rPr>
        <w:t>保障房租</w:t>
      </w:r>
      <w:r>
        <w:rPr>
          <w:rFonts w:hint="eastAsia" w:ascii="方正小标宋简体" w:hAnsi="方正小标宋简体" w:eastAsia="方正小标宋简体" w:cs="方正小标宋简体"/>
          <w:sz w:val="44"/>
          <w:szCs w:val="44"/>
          <w:lang w:eastAsia="zh-CN"/>
        </w:rPr>
        <w:t>金调整方案</w:t>
      </w:r>
    </w:p>
    <w:bookmarkEnd w:id="0"/>
    <w:p>
      <w:pPr>
        <w:spacing w:line="240" w:lineRule="auto"/>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spacing w:line="240" w:lineRule="auto"/>
        <w:ind w:firstLine="640" w:firstLineChars="200"/>
        <w:jc w:val="left"/>
        <w:rPr>
          <w:rFonts w:hint="eastAsia" w:ascii="仿宋_GB2312" w:hAnsi="仿宋_GB2312" w:eastAsia="仿宋_GB2312" w:cs="仿宋_GB2312"/>
          <w:sz w:val="32"/>
          <w:szCs w:val="32"/>
          <w:lang w:eastAsia="zh-CN"/>
        </w:rPr>
      </w:pPr>
    </w:p>
    <w:p>
      <w:pPr>
        <w:spacing w:line="240" w:lineRule="auto"/>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根据韶关恒正房地产与土地评估有限公司对新丰县城公共租赁住房及马头镇</w:t>
      </w:r>
      <w:r>
        <w:rPr>
          <w:rFonts w:hint="eastAsia" w:ascii="仿宋_GB2312" w:hAnsi="仿宋_GB2312" w:eastAsia="仿宋_GB2312" w:cs="仿宋_GB2312"/>
          <w:sz w:val="32"/>
          <w:szCs w:val="32"/>
          <w:lang w:val="en-US" w:eastAsia="zh-CN"/>
        </w:rPr>
        <w:t>保障性</w:t>
      </w:r>
      <w:r>
        <w:rPr>
          <w:rFonts w:hint="eastAsia" w:ascii="仿宋_GB2312" w:hAnsi="仿宋_GB2312" w:eastAsia="仿宋_GB2312" w:cs="仿宋_GB2312"/>
          <w:sz w:val="32"/>
          <w:szCs w:val="32"/>
          <w:lang w:eastAsia="zh-CN"/>
        </w:rPr>
        <w:t>租赁住房进行房地产市场租金参考价格评估结果。我中心综合考虑各方因素拟对租金价格进行如下定价：</w:t>
      </w:r>
    </w:p>
    <w:p>
      <w:pPr>
        <w:numPr>
          <w:ilvl w:val="0"/>
          <w:numId w:val="1"/>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县城公共租赁住房租金标准：按房屋类型分为步梯房和电梯房，步梯房：每月</w:t>
      </w:r>
      <w:r>
        <w:rPr>
          <w:rFonts w:hint="eastAsia" w:ascii="仿宋_GB2312" w:hAnsi="仿宋_GB2312" w:eastAsia="仿宋_GB2312" w:cs="仿宋_GB2312"/>
          <w:sz w:val="32"/>
          <w:szCs w:val="32"/>
          <w:lang w:val="en-US" w:eastAsia="zh-CN"/>
        </w:rPr>
        <w:t>5.00元/m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；电梯房：每月8.50元/m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收取；</w:t>
      </w:r>
    </w:p>
    <w:p>
      <w:pPr>
        <w:numPr>
          <w:ilvl w:val="0"/>
          <w:numId w:val="1"/>
        </w:numPr>
        <w:spacing w:line="24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各乡镇参照马头镇标准：保障性租赁住房步梯房租金标准为：每月4.00元/m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；电梯房：每月6.00元/m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收取。</w:t>
      </w:r>
    </w:p>
    <w:p>
      <w:pPr>
        <w:numPr>
          <w:ilvl w:val="0"/>
          <w:numId w:val="1"/>
        </w:numPr>
        <w:spacing w:line="240" w:lineRule="auto"/>
        <w:ind w:firstLine="640" w:firstLineChars="200"/>
        <w:jc w:val="left"/>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基准租金按不同保障对象进行按档划分：根据家庭状况，将保障对象划分为3档，</w:t>
      </w:r>
    </w:p>
    <w:p>
      <w:pPr>
        <w:numPr>
          <w:ilvl w:val="0"/>
          <w:numId w:val="0"/>
        </w:numPr>
        <w:spacing w:line="240" w:lineRule="auto"/>
        <w:ind w:firstLine="640" w:firstLineChars="200"/>
        <w:jc w:val="left"/>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1、低保家庭、持《优待证》军人的按租金标准25％比例收取（例：5元</w:t>
      </w:r>
      <w:r>
        <w:rPr>
          <w:rFonts w:hint="eastAsia" w:ascii="仿宋_GB2312" w:hAnsi="仿宋_GB2312" w:eastAsia="仿宋_GB2312" w:cs="仿宋_GB2312"/>
          <w:color w:val="C00000"/>
          <w:sz w:val="32"/>
          <w:szCs w:val="32"/>
          <w:highlight w:val="none"/>
          <w:lang w:val="en-US" w:eastAsia="zh-CN"/>
        </w:rPr>
        <w:t>×</w:t>
      </w:r>
      <w:r>
        <w:rPr>
          <w:rFonts w:hint="eastAsia" w:ascii="仿宋_GB2312" w:hAnsi="仿宋_GB2312" w:eastAsia="仿宋_GB2312" w:cs="仿宋_GB2312"/>
          <w:color w:val="C00000"/>
          <w:sz w:val="32"/>
          <w:szCs w:val="32"/>
          <w:lang w:val="en-US" w:eastAsia="zh-CN"/>
        </w:rPr>
        <w:t>0.25=1.25元）；</w:t>
      </w:r>
    </w:p>
    <w:p>
      <w:pPr>
        <w:numPr>
          <w:ilvl w:val="0"/>
          <w:numId w:val="0"/>
        </w:numPr>
        <w:spacing w:line="240" w:lineRule="auto"/>
        <w:ind w:firstLine="640" w:firstLineChars="200"/>
        <w:jc w:val="left"/>
        <w:rPr>
          <w:rFonts w:hint="eastAsia" w:ascii="仿宋_GB2312" w:hAnsi="仿宋_GB2312" w:eastAsia="仿宋_GB2312" w:cs="仿宋_GB2312"/>
          <w:color w:val="C00000"/>
          <w:sz w:val="32"/>
          <w:szCs w:val="32"/>
          <w:highlight w:val="none"/>
          <w:lang w:val="en-US" w:eastAsia="zh-CN"/>
        </w:rPr>
      </w:pPr>
      <w:r>
        <w:rPr>
          <w:rFonts w:hint="eastAsia" w:ascii="仿宋_GB2312" w:hAnsi="仿宋_GB2312" w:eastAsia="仿宋_GB2312" w:cs="仿宋_GB2312"/>
          <w:color w:val="C00000"/>
          <w:sz w:val="32"/>
          <w:szCs w:val="32"/>
          <w:lang w:val="en-US" w:eastAsia="zh-CN"/>
        </w:rPr>
        <w:t>2、分散供养特困人员、低收入、支出型住房困难家庭、</w:t>
      </w:r>
      <w:r>
        <w:rPr>
          <w:rFonts w:hint="eastAsia" w:ascii="仿宋_GB2312" w:hAnsi="仿宋_GB2312" w:eastAsia="仿宋_GB2312" w:cs="仿宋_GB2312"/>
          <w:color w:val="C00000"/>
          <w:sz w:val="32"/>
          <w:szCs w:val="32"/>
          <w:highlight w:val="none"/>
        </w:rPr>
        <w:t>城镇中等偏下收入住房困难家庭</w:t>
      </w:r>
      <w:r>
        <w:rPr>
          <w:rFonts w:hint="eastAsia" w:ascii="仿宋_GB2312" w:hAnsi="仿宋_GB2312" w:eastAsia="仿宋_GB2312" w:cs="仿宋_GB2312"/>
          <w:color w:val="C00000"/>
          <w:sz w:val="32"/>
          <w:szCs w:val="32"/>
          <w:highlight w:val="none"/>
          <w:lang w:eastAsia="zh-CN"/>
        </w:rPr>
        <w:t>、</w:t>
      </w:r>
      <w:r>
        <w:rPr>
          <w:rFonts w:hint="eastAsia" w:ascii="仿宋_GB2312" w:hAnsi="仿宋_GB2312" w:eastAsia="仿宋_GB2312" w:cs="仿宋_GB2312"/>
          <w:color w:val="C00000"/>
          <w:sz w:val="32"/>
          <w:szCs w:val="32"/>
          <w:highlight w:val="none"/>
          <w:lang w:val="en-US" w:eastAsia="zh-CN"/>
        </w:rPr>
        <w:t>重点优抚对象及其他困难退役军人、单亲家庭、</w:t>
      </w:r>
      <w:r>
        <w:rPr>
          <w:rFonts w:hint="eastAsia" w:ascii="仿宋_GB2312" w:hAnsi="仿宋_GB2312" w:eastAsia="仿宋_GB2312" w:cs="仿宋_GB2312"/>
          <w:color w:val="C00000"/>
          <w:sz w:val="32"/>
          <w:szCs w:val="32"/>
          <w:highlight w:val="none"/>
        </w:rPr>
        <w:t>住房困难消防救援人员，环卫、公交等公共服务行业一线职工</w:t>
      </w:r>
      <w:r>
        <w:rPr>
          <w:rFonts w:hint="eastAsia" w:ascii="仿宋_GB2312" w:hAnsi="仿宋_GB2312" w:eastAsia="仿宋_GB2312" w:cs="仿宋_GB2312"/>
          <w:color w:val="C00000"/>
          <w:sz w:val="32"/>
          <w:szCs w:val="32"/>
          <w:highlight w:val="none"/>
          <w:lang w:eastAsia="zh-CN"/>
        </w:rPr>
        <w:t>按租金标准</w:t>
      </w:r>
      <w:r>
        <w:rPr>
          <w:rFonts w:hint="eastAsia" w:ascii="仿宋_GB2312" w:hAnsi="仿宋_GB2312" w:eastAsia="仿宋_GB2312" w:cs="仿宋_GB2312"/>
          <w:color w:val="C00000"/>
          <w:sz w:val="32"/>
          <w:szCs w:val="32"/>
          <w:highlight w:val="none"/>
          <w:lang w:val="en-US" w:eastAsia="zh-CN"/>
        </w:rPr>
        <w:t>60％比例收取（例：5元×0.60=3.00元）；</w:t>
      </w:r>
    </w:p>
    <w:p>
      <w:pPr>
        <w:numPr>
          <w:ilvl w:val="0"/>
          <w:numId w:val="0"/>
        </w:numPr>
        <w:spacing w:line="240" w:lineRule="auto"/>
        <w:ind w:firstLine="640" w:firstLineChars="200"/>
        <w:jc w:val="left"/>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3、保障性租赁住房（人才公寓），优先用于解决住房困难的新市民、新青年、县直单位异地人员等群体按租金标准80%比例收取（例：8.5</w:t>
      </w:r>
      <w:r>
        <w:rPr>
          <w:rFonts w:hint="eastAsia" w:ascii="仿宋_GB2312" w:hAnsi="仿宋_GB2312" w:eastAsia="仿宋_GB2312" w:cs="仿宋_GB2312"/>
          <w:color w:val="C00000"/>
          <w:sz w:val="32"/>
          <w:szCs w:val="32"/>
          <w:highlight w:val="none"/>
          <w:lang w:val="en-US" w:eastAsia="zh-CN"/>
        </w:rPr>
        <w:t>元×</w:t>
      </w:r>
      <w:r>
        <w:rPr>
          <w:rFonts w:hint="eastAsia" w:ascii="仿宋_GB2312" w:hAnsi="仿宋_GB2312" w:eastAsia="仿宋_GB2312" w:cs="仿宋_GB2312"/>
          <w:color w:val="C00000"/>
          <w:sz w:val="32"/>
          <w:szCs w:val="32"/>
          <w:lang w:val="en-US" w:eastAsia="zh-CN"/>
        </w:rPr>
        <w:t>80％=6.8元）。</w:t>
      </w:r>
    </w:p>
    <w:p>
      <w:pPr>
        <w:numPr>
          <w:ilvl w:val="0"/>
          <w:numId w:val="0"/>
        </w:numPr>
        <w:spacing w:line="240" w:lineRule="auto"/>
        <w:ind w:firstLine="640" w:firstLineChars="200"/>
        <w:jc w:val="left"/>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四.对已入住但被取消保障资格的住房困难家庭，按照同期同类租金标准100％比例收取，不享受政策减免。</w:t>
      </w:r>
    </w:p>
    <w:p>
      <w:pPr>
        <w:numPr>
          <w:ilvl w:val="0"/>
          <w:numId w:val="0"/>
        </w:numPr>
        <w:spacing w:line="400" w:lineRule="exact"/>
        <w:jc w:val="left"/>
        <w:rPr>
          <w:rFonts w:hint="eastAsia" w:ascii="仿宋_GB2312" w:hAnsi="仿宋_GB2312" w:eastAsia="仿宋_GB2312" w:cs="仿宋_GB2312"/>
          <w:color w:val="C00000"/>
          <w:sz w:val="32"/>
          <w:szCs w:val="32"/>
          <w:lang w:val="en-US" w:eastAsia="zh-CN"/>
        </w:rPr>
      </w:pPr>
    </w:p>
    <w:p>
      <w:pPr>
        <w:numPr>
          <w:ilvl w:val="0"/>
          <w:numId w:val="0"/>
        </w:numPr>
        <w:spacing w:line="400" w:lineRule="exact"/>
        <w:jc w:val="left"/>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附件1：市场租金评估表</w:t>
      </w:r>
    </w:p>
    <w:tbl>
      <w:tblPr>
        <w:tblStyle w:val="3"/>
        <w:tblW w:w="9397"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3573"/>
        <w:gridCol w:w="930"/>
        <w:gridCol w:w="2451"/>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1" w:type="dxa"/>
            <w:noWrap w:val="0"/>
            <w:vAlign w:val="center"/>
          </w:tcPr>
          <w:p>
            <w:pPr>
              <w:spacing w:line="400" w:lineRule="exact"/>
              <w:jc w:val="center"/>
              <w:rPr>
                <w:rFonts w:hint="eastAsia" w:ascii="宋体" w:hAnsi="宋体"/>
                <w:color w:val="C00000"/>
                <w:sz w:val="24"/>
                <w:szCs w:val="24"/>
              </w:rPr>
            </w:pPr>
          </w:p>
        </w:tc>
        <w:tc>
          <w:tcPr>
            <w:tcW w:w="3573" w:type="dxa"/>
            <w:noWrap w:val="0"/>
            <w:vAlign w:val="center"/>
          </w:tcPr>
          <w:p>
            <w:pPr>
              <w:spacing w:line="400" w:lineRule="exact"/>
              <w:jc w:val="center"/>
              <w:rPr>
                <w:rFonts w:hint="default" w:ascii="宋体" w:hAnsi="宋体" w:eastAsia="宋体"/>
                <w:color w:val="C00000"/>
                <w:szCs w:val="21"/>
                <w:lang w:val="en-US" w:eastAsia="zh-CN"/>
              </w:rPr>
            </w:pPr>
            <w:r>
              <w:rPr>
                <w:rFonts w:hint="eastAsia" w:ascii="宋体" w:hAnsi="宋体"/>
                <w:b/>
                <w:color w:val="C00000"/>
                <w:sz w:val="24"/>
                <w:szCs w:val="24"/>
                <w:lang w:eastAsia="zh-CN"/>
              </w:rPr>
              <w:t>项目</w:t>
            </w:r>
          </w:p>
        </w:tc>
        <w:tc>
          <w:tcPr>
            <w:tcW w:w="930" w:type="dxa"/>
            <w:noWrap w:val="0"/>
            <w:vAlign w:val="center"/>
          </w:tcPr>
          <w:p>
            <w:pPr>
              <w:spacing w:line="400" w:lineRule="exact"/>
              <w:jc w:val="center"/>
              <w:rPr>
                <w:rFonts w:hint="default" w:ascii="宋体" w:hAnsi="宋体" w:eastAsia="宋体"/>
                <w:color w:val="C00000"/>
                <w:szCs w:val="21"/>
                <w:lang w:val="en-US" w:eastAsia="zh-CN"/>
              </w:rPr>
            </w:pPr>
            <w:r>
              <w:rPr>
                <w:rFonts w:hint="eastAsia" w:ascii="宋体" w:hAnsi="宋体"/>
                <w:b/>
                <w:color w:val="C00000"/>
                <w:sz w:val="24"/>
                <w:szCs w:val="24"/>
              </w:rPr>
              <w:t>结构</w:t>
            </w:r>
          </w:p>
        </w:tc>
        <w:tc>
          <w:tcPr>
            <w:tcW w:w="2451" w:type="dxa"/>
            <w:noWrap w:val="0"/>
            <w:vAlign w:val="center"/>
          </w:tcPr>
          <w:p>
            <w:pPr>
              <w:spacing w:line="400" w:lineRule="exact"/>
              <w:jc w:val="both"/>
              <w:rPr>
                <w:rFonts w:hint="eastAsia" w:ascii="宋体" w:hAnsi="宋体" w:eastAsia="宋体"/>
                <w:color w:val="C00000"/>
                <w:szCs w:val="21"/>
                <w:lang w:val="en-US" w:eastAsia="zh-CN"/>
              </w:rPr>
            </w:pPr>
            <w:r>
              <w:rPr>
                <w:rFonts w:hint="eastAsia" w:ascii="宋体" w:hAnsi="宋体"/>
                <w:b/>
                <w:color w:val="C00000"/>
                <w:sz w:val="24"/>
                <w:szCs w:val="24"/>
              </w:rPr>
              <w:t>市场单价</w:t>
            </w:r>
            <w:r>
              <w:rPr>
                <w:rFonts w:hint="eastAsia" w:ascii="宋体" w:hAnsi="宋体"/>
                <w:b/>
                <w:color w:val="C00000"/>
                <w:sz w:val="24"/>
                <w:szCs w:val="24"/>
                <w:lang w:eastAsia="zh-CN"/>
              </w:rPr>
              <w:t>（</w:t>
            </w:r>
            <w:r>
              <w:rPr>
                <w:rFonts w:hint="eastAsia" w:ascii="宋体" w:hAnsi="宋体"/>
                <w:b/>
                <w:color w:val="C00000"/>
                <w:szCs w:val="21"/>
              </w:rPr>
              <w:t>元/</w:t>
            </w:r>
            <w:r>
              <w:rPr>
                <w:rFonts w:ascii="宋体" w:hAnsi="宋体"/>
                <w:b/>
                <w:color w:val="C00000"/>
                <w:szCs w:val="21"/>
              </w:rPr>
              <w:t>m</w:t>
            </w:r>
            <w:r>
              <w:rPr>
                <w:rFonts w:ascii="宋体" w:hAnsi="宋体"/>
                <w:b/>
                <w:color w:val="C00000"/>
                <w:szCs w:val="21"/>
                <w:vertAlign w:val="superscript"/>
              </w:rPr>
              <w:t>2</w:t>
            </w:r>
            <w:r>
              <w:rPr>
                <w:rFonts w:hint="eastAsia" w:ascii="宋体" w:hAnsi="宋体"/>
                <w:b/>
                <w:color w:val="C00000"/>
                <w:szCs w:val="21"/>
              </w:rPr>
              <w:t>/</w:t>
            </w:r>
            <w:r>
              <w:rPr>
                <w:rFonts w:hint="eastAsia" w:ascii="宋体" w:hAnsi="宋体"/>
                <w:b/>
                <w:color w:val="C00000"/>
                <w:szCs w:val="21"/>
                <w:lang w:val="en-US" w:eastAsia="zh-CN"/>
              </w:rPr>
              <w:t>月</w:t>
            </w:r>
            <w:r>
              <w:rPr>
                <w:rFonts w:hint="eastAsia" w:ascii="宋体" w:hAnsi="宋体"/>
                <w:b/>
                <w:color w:val="C00000"/>
                <w:szCs w:val="21"/>
                <w:lang w:eastAsia="zh-CN"/>
              </w:rPr>
              <w:t>）</w:t>
            </w:r>
          </w:p>
        </w:tc>
        <w:tc>
          <w:tcPr>
            <w:tcW w:w="2002" w:type="dxa"/>
            <w:noWrap w:val="0"/>
            <w:vAlign w:val="center"/>
          </w:tcPr>
          <w:p>
            <w:pPr>
              <w:spacing w:line="400" w:lineRule="exact"/>
              <w:jc w:val="center"/>
              <w:rPr>
                <w:rFonts w:hint="default" w:ascii="宋体" w:hAnsi="宋体" w:eastAsia="宋体"/>
                <w:color w:val="C00000"/>
                <w:szCs w:val="21"/>
                <w:lang w:val="en-US" w:eastAsia="zh-CN"/>
              </w:rPr>
            </w:pPr>
            <w:r>
              <w:rPr>
                <w:rFonts w:hint="eastAsia" w:ascii="宋体" w:hAnsi="宋体"/>
                <w:b/>
                <w:color w:val="C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1" w:type="dxa"/>
            <w:noWrap w:val="0"/>
            <w:vAlign w:val="center"/>
          </w:tcPr>
          <w:p>
            <w:pPr>
              <w:spacing w:line="400" w:lineRule="exact"/>
              <w:jc w:val="center"/>
              <w:rPr>
                <w:rFonts w:hint="eastAsia" w:ascii="宋体" w:hAnsi="宋体"/>
                <w:color w:val="C00000"/>
                <w:sz w:val="24"/>
                <w:szCs w:val="24"/>
              </w:rPr>
            </w:pPr>
            <w:r>
              <w:rPr>
                <w:rFonts w:hint="eastAsia" w:ascii="宋体" w:hAnsi="宋体"/>
                <w:color w:val="C00000"/>
                <w:sz w:val="24"/>
                <w:szCs w:val="24"/>
              </w:rPr>
              <w:t>1</w:t>
            </w:r>
          </w:p>
        </w:tc>
        <w:tc>
          <w:tcPr>
            <w:tcW w:w="3573" w:type="dxa"/>
            <w:noWrap w:val="0"/>
            <w:vAlign w:val="center"/>
          </w:tcPr>
          <w:p>
            <w:pPr>
              <w:spacing w:line="400" w:lineRule="exact"/>
              <w:jc w:val="center"/>
              <w:rPr>
                <w:rFonts w:hint="eastAsia" w:ascii="宋体" w:hAnsi="宋体" w:eastAsia="宋体" w:cs="Times New Roman"/>
                <w:color w:val="C00000"/>
                <w:sz w:val="21"/>
                <w:szCs w:val="21"/>
                <w:lang w:val="en-US" w:eastAsia="zh-CN" w:bidi="ar-SA"/>
              </w:rPr>
            </w:pPr>
            <w:r>
              <w:rPr>
                <w:rFonts w:hint="eastAsia" w:ascii="宋体" w:hAnsi="宋体" w:eastAsia="宋体" w:cs="Times New Roman"/>
                <w:color w:val="C00000"/>
                <w:szCs w:val="21"/>
                <w:lang w:val="en-US" w:eastAsia="zh-CN"/>
              </w:rPr>
              <w:t>新丰县县城公共租赁住房（步梯住宅市场参考租金单价）</w:t>
            </w:r>
          </w:p>
        </w:tc>
        <w:tc>
          <w:tcPr>
            <w:tcW w:w="930" w:type="dxa"/>
            <w:noWrap w:val="0"/>
            <w:vAlign w:val="center"/>
          </w:tcPr>
          <w:p>
            <w:pPr>
              <w:spacing w:line="400" w:lineRule="exact"/>
              <w:jc w:val="center"/>
              <w:rPr>
                <w:rFonts w:hint="eastAsia" w:ascii="宋体" w:hAnsi="宋体" w:eastAsia="宋体" w:cs="Times New Roman"/>
                <w:color w:val="C00000"/>
                <w:sz w:val="21"/>
                <w:szCs w:val="21"/>
                <w:lang w:val="en-US" w:eastAsia="zh-CN" w:bidi="ar-SA"/>
              </w:rPr>
            </w:pPr>
            <w:r>
              <w:rPr>
                <w:rFonts w:hint="eastAsia" w:ascii="宋体" w:hAnsi="宋体"/>
                <w:color w:val="C00000"/>
                <w:szCs w:val="21"/>
                <w:lang w:eastAsia="zh-CN"/>
              </w:rPr>
              <w:t>框架</w:t>
            </w:r>
          </w:p>
        </w:tc>
        <w:tc>
          <w:tcPr>
            <w:tcW w:w="2451" w:type="dxa"/>
            <w:noWrap w:val="0"/>
            <w:vAlign w:val="center"/>
          </w:tcPr>
          <w:p>
            <w:pPr>
              <w:spacing w:line="400" w:lineRule="exact"/>
              <w:jc w:val="center"/>
              <w:rPr>
                <w:rFonts w:hint="eastAsia" w:ascii="宋体" w:hAnsi="宋体" w:eastAsia="宋体" w:cs="Times New Roman"/>
                <w:color w:val="C00000"/>
                <w:sz w:val="21"/>
                <w:szCs w:val="21"/>
                <w:lang w:val="en-US" w:eastAsia="zh-CN" w:bidi="ar-SA"/>
              </w:rPr>
            </w:pPr>
            <w:r>
              <w:rPr>
                <w:rFonts w:hint="eastAsia" w:ascii="宋体" w:hAnsi="宋体"/>
                <w:color w:val="C00000"/>
                <w:sz w:val="21"/>
                <w:szCs w:val="21"/>
                <w:lang w:val="en-US" w:eastAsia="zh-CN"/>
              </w:rPr>
              <w:t>5.00-7.05</w:t>
            </w:r>
          </w:p>
        </w:tc>
        <w:tc>
          <w:tcPr>
            <w:tcW w:w="2002" w:type="dxa"/>
            <w:vMerge w:val="restart"/>
            <w:noWrap w:val="0"/>
            <w:vAlign w:val="center"/>
          </w:tcPr>
          <w:p>
            <w:pPr>
              <w:spacing w:line="400" w:lineRule="exact"/>
              <w:jc w:val="center"/>
              <w:rPr>
                <w:rFonts w:hint="eastAsia" w:ascii="宋体" w:hAnsi="宋体" w:eastAsia="宋体" w:cs="Times New Roman"/>
                <w:color w:val="C00000"/>
                <w:sz w:val="21"/>
                <w:szCs w:val="21"/>
                <w:lang w:val="en-US" w:eastAsia="zh-CN" w:bidi="ar-SA"/>
              </w:rPr>
            </w:pPr>
            <w:r>
              <w:rPr>
                <w:rFonts w:hint="eastAsia" w:ascii="宋体" w:hAnsi="宋体" w:eastAsia="宋体" w:cs="Times New Roman"/>
                <w:color w:val="C00000"/>
                <w:szCs w:val="21"/>
                <w:lang w:val="en-US" w:eastAsia="zh-CN"/>
              </w:rPr>
              <w:t>普通住宅小区、框架结构住宅、标准楼层、普通装修、中等户型，不带家私家电，整体成新率85%成以上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41" w:type="dxa"/>
            <w:noWrap w:val="0"/>
            <w:vAlign w:val="center"/>
          </w:tcPr>
          <w:p>
            <w:pPr>
              <w:spacing w:line="400" w:lineRule="exact"/>
              <w:jc w:val="center"/>
              <w:rPr>
                <w:rFonts w:hint="default" w:ascii="宋体" w:hAnsi="宋体" w:eastAsia="宋体"/>
                <w:color w:val="C00000"/>
                <w:sz w:val="24"/>
                <w:szCs w:val="24"/>
                <w:lang w:val="en-US" w:eastAsia="zh-CN"/>
              </w:rPr>
            </w:pPr>
            <w:r>
              <w:rPr>
                <w:rFonts w:hint="eastAsia" w:ascii="宋体" w:hAnsi="宋体" w:eastAsia="宋体"/>
                <w:color w:val="C00000"/>
                <w:sz w:val="24"/>
                <w:szCs w:val="24"/>
                <w:lang w:val="en-US" w:eastAsia="zh-CN"/>
              </w:rPr>
              <w:t>2</w:t>
            </w:r>
          </w:p>
        </w:tc>
        <w:tc>
          <w:tcPr>
            <w:tcW w:w="3573" w:type="dxa"/>
            <w:noWrap w:val="0"/>
            <w:vAlign w:val="center"/>
          </w:tcPr>
          <w:p>
            <w:pPr>
              <w:spacing w:line="400" w:lineRule="exact"/>
              <w:jc w:val="center"/>
              <w:rPr>
                <w:rFonts w:hint="eastAsia" w:ascii="宋体" w:hAnsi="宋体"/>
                <w:color w:val="C00000"/>
                <w:szCs w:val="21"/>
              </w:rPr>
            </w:pPr>
            <w:r>
              <w:rPr>
                <w:rFonts w:hint="eastAsia" w:ascii="宋体" w:hAnsi="宋体" w:eastAsia="宋体" w:cs="Times New Roman"/>
                <w:color w:val="C00000"/>
                <w:szCs w:val="21"/>
                <w:lang w:val="en-US" w:eastAsia="zh-CN"/>
              </w:rPr>
              <w:t>新丰县县城公共租赁住房（电梯住宅市场参考租金单价）</w:t>
            </w:r>
          </w:p>
        </w:tc>
        <w:tc>
          <w:tcPr>
            <w:tcW w:w="930" w:type="dxa"/>
            <w:noWrap w:val="0"/>
            <w:vAlign w:val="center"/>
          </w:tcPr>
          <w:p>
            <w:pPr>
              <w:spacing w:line="400" w:lineRule="exact"/>
              <w:jc w:val="center"/>
              <w:rPr>
                <w:rFonts w:hint="default" w:ascii="宋体" w:hAnsi="宋体" w:eastAsia="宋体"/>
                <w:color w:val="C00000"/>
                <w:szCs w:val="21"/>
                <w:lang w:val="en-US" w:eastAsia="zh-CN"/>
              </w:rPr>
            </w:pPr>
            <w:r>
              <w:rPr>
                <w:rFonts w:hint="eastAsia" w:ascii="宋体" w:hAnsi="宋体"/>
                <w:color w:val="C00000"/>
                <w:szCs w:val="21"/>
                <w:lang w:eastAsia="zh-CN"/>
              </w:rPr>
              <w:t>框架</w:t>
            </w:r>
          </w:p>
        </w:tc>
        <w:tc>
          <w:tcPr>
            <w:tcW w:w="2451" w:type="dxa"/>
            <w:noWrap w:val="0"/>
            <w:vAlign w:val="center"/>
          </w:tcPr>
          <w:p>
            <w:pPr>
              <w:spacing w:line="400" w:lineRule="exact"/>
              <w:jc w:val="center"/>
              <w:rPr>
                <w:rFonts w:hint="default" w:ascii="宋体" w:hAnsi="宋体" w:eastAsia="宋体"/>
                <w:color w:val="C00000"/>
                <w:szCs w:val="21"/>
                <w:lang w:val="en-US" w:eastAsia="zh-CN"/>
              </w:rPr>
            </w:pPr>
            <w:r>
              <w:rPr>
                <w:rFonts w:hint="eastAsia" w:ascii="宋体" w:hAnsi="宋体"/>
                <w:strike w:val="0"/>
                <w:dstrike w:val="0"/>
                <w:color w:val="C00000"/>
                <w:sz w:val="21"/>
                <w:szCs w:val="21"/>
                <w:highlight w:val="none"/>
                <w:lang w:val="en-US" w:eastAsia="zh-CN"/>
              </w:rPr>
              <w:t>6.30</w:t>
            </w:r>
            <w:r>
              <w:rPr>
                <w:rFonts w:hint="eastAsia" w:ascii="宋体" w:hAnsi="宋体"/>
                <w:strike w:val="0"/>
                <w:color w:val="C00000"/>
                <w:sz w:val="21"/>
                <w:szCs w:val="21"/>
                <w:lang w:val="en-US" w:eastAsia="zh-CN"/>
              </w:rPr>
              <w:t>-</w:t>
            </w:r>
            <w:r>
              <w:rPr>
                <w:rFonts w:hint="eastAsia" w:ascii="宋体" w:hAnsi="宋体"/>
                <w:color w:val="C00000"/>
                <w:sz w:val="21"/>
                <w:szCs w:val="21"/>
                <w:lang w:val="en-US" w:eastAsia="zh-CN"/>
              </w:rPr>
              <w:t>11.00</w:t>
            </w:r>
          </w:p>
        </w:tc>
        <w:tc>
          <w:tcPr>
            <w:tcW w:w="2002" w:type="dxa"/>
            <w:vMerge w:val="continue"/>
            <w:noWrap w:val="0"/>
            <w:vAlign w:val="top"/>
          </w:tcPr>
          <w:p>
            <w:pPr>
              <w:spacing w:line="400" w:lineRule="exact"/>
              <w:jc w:val="center"/>
              <w:rPr>
                <w:rFonts w:hint="eastAsia" w:ascii="宋体" w:hAnsi="宋体"/>
                <w:color w:val="C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41" w:type="dxa"/>
            <w:noWrap w:val="0"/>
            <w:vAlign w:val="center"/>
          </w:tcPr>
          <w:p>
            <w:pPr>
              <w:spacing w:line="400" w:lineRule="exact"/>
              <w:jc w:val="center"/>
              <w:rPr>
                <w:rFonts w:hint="eastAsia" w:ascii="宋体" w:hAnsi="宋体" w:eastAsia="宋体"/>
                <w:color w:val="C00000"/>
                <w:sz w:val="24"/>
                <w:szCs w:val="24"/>
                <w:lang w:val="en-US" w:eastAsia="zh-CN"/>
              </w:rPr>
            </w:pPr>
            <w:r>
              <w:rPr>
                <w:rFonts w:hint="eastAsia" w:ascii="宋体" w:hAnsi="宋体"/>
                <w:color w:val="C00000"/>
                <w:sz w:val="24"/>
                <w:szCs w:val="24"/>
                <w:lang w:val="en-US" w:eastAsia="zh-CN"/>
              </w:rPr>
              <w:t>3</w:t>
            </w:r>
          </w:p>
        </w:tc>
        <w:tc>
          <w:tcPr>
            <w:tcW w:w="3573" w:type="dxa"/>
            <w:noWrap w:val="0"/>
            <w:vAlign w:val="center"/>
          </w:tcPr>
          <w:p>
            <w:pPr>
              <w:spacing w:line="400" w:lineRule="exact"/>
              <w:jc w:val="center"/>
              <w:rPr>
                <w:rFonts w:hint="eastAsia" w:ascii="宋体" w:hAnsi="宋体"/>
                <w:color w:val="C00000"/>
                <w:szCs w:val="21"/>
              </w:rPr>
            </w:pPr>
            <w:r>
              <w:rPr>
                <w:rFonts w:hint="eastAsia" w:ascii="宋体" w:hAnsi="宋体" w:eastAsia="宋体" w:cs="Times New Roman"/>
                <w:color w:val="C00000"/>
                <w:szCs w:val="21"/>
                <w:lang w:val="en-US" w:eastAsia="zh-CN"/>
              </w:rPr>
              <w:t>新丰县马头镇</w:t>
            </w:r>
            <w:r>
              <w:rPr>
                <w:rFonts w:hint="eastAsia" w:ascii="宋体" w:hAnsi="宋体" w:cs="Times New Roman"/>
                <w:color w:val="C00000"/>
                <w:szCs w:val="21"/>
                <w:lang w:val="en-US" w:eastAsia="zh-CN"/>
              </w:rPr>
              <w:t>保障性</w:t>
            </w:r>
            <w:r>
              <w:rPr>
                <w:rFonts w:hint="eastAsia" w:ascii="宋体" w:hAnsi="宋体" w:eastAsia="宋体" w:cs="Times New Roman"/>
                <w:color w:val="C00000"/>
                <w:szCs w:val="21"/>
                <w:lang w:val="en-US" w:eastAsia="zh-CN"/>
              </w:rPr>
              <w:t>租赁住房（步梯住宅市场参考租金单价）</w:t>
            </w:r>
          </w:p>
        </w:tc>
        <w:tc>
          <w:tcPr>
            <w:tcW w:w="930" w:type="dxa"/>
            <w:noWrap w:val="0"/>
            <w:vAlign w:val="center"/>
          </w:tcPr>
          <w:p>
            <w:pPr>
              <w:spacing w:line="400" w:lineRule="exact"/>
              <w:jc w:val="center"/>
              <w:rPr>
                <w:rFonts w:hint="default" w:ascii="宋体" w:hAnsi="宋体"/>
                <w:color w:val="C00000"/>
                <w:szCs w:val="21"/>
                <w:lang w:val="en-US" w:eastAsia="zh-CN"/>
              </w:rPr>
            </w:pPr>
            <w:r>
              <w:rPr>
                <w:rFonts w:hint="eastAsia" w:ascii="宋体" w:hAnsi="宋体"/>
                <w:color w:val="C00000"/>
                <w:szCs w:val="21"/>
                <w:lang w:eastAsia="zh-CN"/>
              </w:rPr>
              <w:t>框架</w:t>
            </w:r>
          </w:p>
        </w:tc>
        <w:tc>
          <w:tcPr>
            <w:tcW w:w="2451" w:type="dxa"/>
            <w:noWrap w:val="0"/>
            <w:vAlign w:val="center"/>
          </w:tcPr>
          <w:p>
            <w:pPr>
              <w:spacing w:line="400" w:lineRule="exact"/>
              <w:jc w:val="center"/>
              <w:rPr>
                <w:rFonts w:hint="default" w:ascii="宋体" w:hAnsi="宋体"/>
                <w:color w:val="C00000"/>
                <w:szCs w:val="21"/>
                <w:lang w:val="en-US" w:eastAsia="zh-CN"/>
              </w:rPr>
            </w:pPr>
            <w:r>
              <w:rPr>
                <w:rFonts w:hint="eastAsia" w:ascii="宋体" w:hAnsi="宋体"/>
                <w:color w:val="C00000"/>
                <w:sz w:val="21"/>
                <w:szCs w:val="21"/>
                <w:lang w:val="en-US" w:eastAsia="zh-CN"/>
              </w:rPr>
              <w:t>3.50-4.30</w:t>
            </w:r>
          </w:p>
        </w:tc>
        <w:tc>
          <w:tcPr>
            <w:tcW w:w="2002" w:type="dxa"/>
            <w:vMerge w:val="continue"/>
            <w:noWrap w:val="0"/>
            <w:vAlign w:val="top"/>
          </w:tcPr>
          <w:p>
            <w:pPr>
              <w:spacing w:line="400" w:lineRule="exact"/>
              <w:jc w:val="both"/>
              <w:rPr>
                <w:rFonts w:hint="eastAsia" w:ascii="宋体" w:hAnsi="宋体" w:eastAsia="宋体"/>
                <w:color w:val="C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41" w:type="dxa"/>
            <w:noWrap w:val="0"/>
            <w:vAlign w:val="center"/>
          </w:tcPr>
          <w:p>
            <w:pPr>
              <w:spacing w:line="400" w:lineRule="exact"/>
              <w:jc w:val="center"/>
              <w:rPr>
                <w:rFonts w:hint="eastAsia" w:ascii="宋体" w:hAnsi="宋体" w:eastAsia="宋体"/>
                <w:color w:val="C00000"/>
                <w:sz w:val="24"/>
                <w:szCs w:val="24"/>
                <w:lang w:val="en-US" w:eastAsia="zh-CN"/>
              </w:rPr>
            </w:pPr>
            <w:r>
              <w:rPr>
                <w:rFonts w:hint="eastAsia" w:ascii="宋体" w:hAnsi="宋体"/>
                <w:color w:val="C00000"/>
                <w:sz w:val="24"/>
                <w:szCs w:val="24"/>
                <w:lang w:val="en-US" w:eastAsia="zh-CN"/>
              </w:rPr>
              <w:t>4</w:t>
            </w:r>
          </w:p>
        </w:tc>
        <w:tc>
          <w:tcPr>
            <w:tcW w:w="3573" w:type="dxa"/>
            <w:noWrap w:val="0"/>
            <w:vAlign w:val="center"/>
          </w:tcPr>
          <w:p>
            <w:pPr>
              <w:spacing w:line="400" w:lineRule="exact"/>
              <w:jc w:val="center"/>
              <w:rPr>
                <w:rFonts w:hint="eastAsia" w:ascii="宋体" w:hAnsi="宋体"/>
                <w:color w:val="C00000"/>
                <w:szCs w:val="21"/>
              </w:rPr>
            </w:pPr>
            <w:r>
              <w:rPr>
                <w:rFonts w:hint="eastAsia" w:ascii="宋体" w:hAnsi="宋体" w:eastAsia="宋体" w:cs="Times New Roman"/>
                <w:color w:val="C00000"/>
                <w:szCs w:val="21"/>
                <w:lang w:val="en-US" w:eastAsia="zh-CN"/>
              </w:rPr>
              <w:t>新丰县马头镇</w:t>
            </w:r>
            <w:r>
              <w:rPr>
                <w:rFonts w:hint="eastAsia" w:ascii="宋体" w:hAnsi="宋体" w:cs="Times New Roman"/>
                <w:color w:val="C00000"/>
                <w:szCs w:val="21"/>
                <w:lang w:val="en-US" w:eastAsia="zh-CN"/>
              </w:rPr>
              <w:t>保障性</w:t>
            </w:r>
            <w:r>
              <w:rPr>
                <w:rFonts w:hint="eastAsia" w:ascii="宋体" w:hAnsi="宋体" w:eastAsia="宋体" w:cs="Times New Roman"/>
                <w:color w:val="C00000"/>
                <w:szCs w:val="21"/>
                <w:lang w:val="en-US" w:eastAsia="zh-CN"/>
              </w:rPr>
              <w:t>租赁住房（电梯住宅市场参考租金单价）</w:t>
            </w:r>
          </w:p>
        </w:tc>
        <w:tc>
          <w:tcPr>
            <w:tcW w:w="930" w:type="dxa"/>
            <w:noWrap w:val="0"/>
            <w:vAlign w:val="center"/>
          </w:tcPr>
          <w:p>
            <w:pPr>
              <w:spacing w:line="400" w:lineRule="exact"/>
              <w:jc w:val="center"/>
              <w:rPr>
                <w:rFonts w:hint="default" w:ascii="宋体" w:hAnsi="宋体"/>
                <w:color w:val="C00000"/>
                <w:szCs w:val="21"/>
                <w:lang w:val="en-US" w:eastAsia="zh-CN"/>
              </w:rPr>
            </w:pPr>
            <w:r>
              <w:rPr>
                <w:rFonts w:hint="eastAsia" w:ascii="宋体" w:hAnsi="宋体"/>
                <w:color w:val="C00000"/>
                <w:szCs w:val="21"/>
                <w:lang w:eastAsia="zh-CN"/>
              </w:rPr>
              <w:t>框架</w:t>
            </w:r>
          </w:p>
        </w:tc>
        <w:tc>
          <w:tcPr>
            <w:tcW w:w="2451" w:type="dxa"/>
            <w:noWrap w:val="0"/>
            <w:vAlign w:val="center"/>
          </w:tcPr>
          <w:p>
            <w:pPr>
              <w:spacing w:line="400" w:lineRule="exact"/>
              <w:jc w:val="center"/>
              <w:rPr>
                <w:rFonts w:hint="default" w:ascii="宋体" w:hAnsi="宋体" w:eastAsia="宋体"/>
                <w:color w:val="C00000"/>
                <w:szCs w:val="21"/>
                <w:lang w:val="en-US" w:eastAsia="zh-CN"/>
              </w:rPr>
            </w:pPr>
            <w:r>
              <w:rPr>
                <w:rFonts w:hint="eastAsia" w:ascii="宋体" w:hAnsi="宋体"/>
                <w:color w:val="C00000"/>
                <w:sz w:val="21"/>
                <w:szCs w:val="21"/>
                <w:lang w:val="en-US" w:eastAsia="zh-CN"/>
              </w:rPr>
              <w:t>4.65-7.00</w:t>
            </w:r>
          </w:p>
        </w:tc>
        <w:tc>
          <w:tcPr>
            <w:tcW w:w="2002" w:type="dxa"/>
            <w:vMerge w:val="continue"/>
            <w:noWrap w:val="0"/>
            <w:vAlign w:val="top"/>
          </w:tcPr>
          <w:p>
            <w:pPr>
              <w:spacing w:line="400" w:lineRule="exact"/>
              <w:jc w:val="both"/>
              <w:rPr>
                <w:rFonts w:hint="eastAsia" w:ascii="宋体" w:hAnsi="宋体" w:eastAsia="宋体"/>
                <w:color w:val="C00000"/>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C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C00000"/>
          <w:sz w:val="32"/>
          <w:szCs w:val="32"/>
          <w:highlight w:val="none"/>
          <w:lang w:eastAsia="zh-CN"/>
        </w:rPr>
      </w:pPr>
      <w:r>
        <w:rPr>
          <w:rFonts w:hint="eastAsia" w:ascii="仿宋_GB2312" w:hAnsi="仿宋_GB2312" w:eastAsia="仿宋_GB2312" w:cs="仿宋_GB2312"/>
          <w:color w:val="C00000"/>
          <w:sz w:val="32"/>
          <w:szCs w:val="32"/>
          <w:highlight w:val="none"/>
          <w:lang w:eastAsia="zh-CN"/>
        </w:rPr>
        <w:t>附</w:t>
      </w:r>
      <w:r>
        <w:rPr>
          <w:rFonts w:hint="eastAsia" w:ascii="仿宋_GB2312" w:hAnsi="仿宋_GB2312" w:eastAsia="仿宋_GB2312" w:cs="仿宋_GB2312"/>
          <w:color w:val="C00000"/>
          <w:sz w:val="32"/>
          <w:szCs w:val="32"/>
          <w:highlight w:val="none"/>
          <w:lang w:val="en-US" w:eastAsia="zh-CN"/>
        </w:rPr>
        <w:t>件2</w:t>
      </w:r>
      <w:r>
        <w:rPr>
          <w:rFonts w:hint="eastAsia" w:ascii="仿宋_GB2312" w:hAnsi="仿宋_GB2312" w:eastAsia="仿宋_GB2312" w:cs="仿宋_GB2312"/>
          <w:color w:val="C00000"/>
          <w:sz w:val="32"/>
          <w:szCs w:val="32"/>
          <w:highlight w:val="none"/>
          <w:lang w:eastAsia="zh-CN"/>
        </w:rPr>
        <w:t>：租金调整前后优惠对比表</w:t>
      </w:r>
    </w:p>
    <w:p>
      <w:pPr>
        <w:keepNext w:val="0"/>
        <w:keepLines w:val="0"/>
        <w:pageBreakBefore w:val="0"/>
        <w:widowControl w:val="0"/>
        <w:kinsoku/>
        <w:wordWrap/>
        <w:overflowPunct/>
        <w:topLinePunct w:val="0"/>
        <w:autoSpaceDE/>
        <w:autoSpaceDN/>
        <w:bidi w:val="0"/>
        <w:adjustRightInd/>
        <w:snapToGrid/>
        <w:spacing w:line="560" w:lineRule="exact"/>
        <w:ind w:firstLine="5880" w:firstLineChars="2100"/>
        <w:textAlignment w:val="auto"/>
        <w:rPr>
          <w:rFonts w:hint="eastAsia" w:ascii="仿宋_GB2312" w:hAnsi="仿宋_GB2312" w:eastAsia="仿宋_GB2312" w:cs="仿宋_GB2312"/>
          <w:color w:val="C00000"/>
          <w:sz w:val="28"/>
          <w:szCs w:val="28"/>
          <w:highlight w:val="none"/>
          <w:lang w:eastAsia="zh-CN"/>
        </w:rPr>
      </w:pPr>
      <w:r>
        <w:rPr>
          <w:rFonts w:hint="eastAsia" w:ascii="仿宋_GB2312" w:hAnsi="仿宋_GB2312" w:eastAsia="仿宋_GB2312" w:cs="仿宋_GB2312"/>
          <w:color w:val="C00000"/>
          <w:sz w:val="28"/>
          <w:szCs w:val="28"/>
          <w:highlight w:val="none"/>
          <w:lang w:eastAsia="zh-CN"/>
        </w:rPr>
        <w:t>单位：（元</w:t>
      </w:r>
      <w:r>
        <w:rPr>
          <w:rFonts w:hint="eastAsia" w:ascii="仿宋_GB2312" w:hAnsi="仿宋_GB2312" w:eastAsia="仿宋_GB2312" w:cs="仿宋_GB2312"/>
          <w:color w:val="C00000"/>
          <w:sz w:val="28"/>
          <w:szCs w:val="28"/>
          <w:highlight w:val="none"/>
          <w:lang w:val="en-US" w:eastAsia="zh-CN"/>
        </w:rPr>
        <w:t>/㎡/月</w:t>
      </w:r>
      <w:r>
        <w:rPr>
          <w:rFonts w:hint="eastAsia" w:ascii="仿宋_GB2312" w:hAnsi="仿宋_GB2312" w:eastAsia="仿宋_GB2312" w:cs="仿宋_GB2312"/>
          <w:color w:val="C00000"/>
          <w:sz w:val="28"/>
          <w:szCs w:val="28"/>
          <w:highlight w:val="none"/>
          <w:lang w:eastAsia="zh-CN"/>
        </w:rPr>
        <w:t>）</w:t>
      </w:r>
    </w:p>
    <w:tbl>
      <w:tblPr>
        <w:tblStyle w:val="4"/>
        <w:tblW w:w="9444"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2"/>
        <w:gridCol w:w="1843"/>
        <w:gridCol w:w="1627"/>
        <w:gridCol w:w="1716"/>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32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eastAsia="zh-CN"/>
              </w:rPr>
              <w:t>廉租（低保）</w:t>
            </w: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val="en-US" w:eastAsia="zh-CN"/>
              </w:rPr>
              <w:t>公共租赁住房</w:t>
            </w:r>
          </w:p>
        </w:tc>
        <w:tc>
          <w:tcPr>
            <w:tcW w:w="1716"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C00000"/>
                <w:sz w:val="28"/>
                <w:szCs w:val="28"/>
                <w:highlight w:val="none"/>
                <w:vertAlign w:val="baseline"/>
                <w:lang w:eastAsia="zh-CN"/>
              </w:rPr>
            </w:pPr>
            <w:r>
              <w:rPr>
                <w:rFonts w:hint="eastAsia" w:ascii="仿宋_GB2312" w:hAnsi="仿宋_GB2312" w:eastAsia="仿宋_GB2312" w:cs="仿宋_GB2312"/>
                <w:color w:val="C00000"/>
                <w:sz w:val="28"/>
                <w:szCs w:val="28"/>
                <w:highlight w:val="none"/>
                <w:vertAlign w:val="baseline"/>
                <w:lang w:eastAsia="zh-CN"/>
              </w:rPr>
              <w:t>保障性</w:t>
            </w:r>
            <w:r>
              <w:rPr>
                <w:rFonts w:hint="eastAsia" w:ascii="仿宋_GB2312" w:hAnsi="仿宋_GB2312" w:eastAsia="仿宋_GB2312" w:cs="仿宋_GB2312"/>
                <w:color w:val="C00000"/>
                <w:sz w:val="28"/>
                <w:szCs w:val="28"/>
                <w:highlight w:val="none"/>
                <w:vertAlign w:val="baseline"/>
                <w:lang w:val="en-US" w:eastAsia="zh-CN"/>
              </w:rPr>
              <w:t>租赁</w:t>
            </w:r>
            <w:r>
              <w:rPr>
                <w:rFonts w:hint="eastAsia" w:ascii="仿宋_GB2312" w:hAnsi="仿宋_GB2312" w:eastAsia="仿宋_GB2312" w:cs="仿宋_GB2312"/>
                <w:color w:val="C00000"/>
                <w:sz w:val="28"/>
                <w:szCs w:val="28"/>
                <w:highlight w:val="none"/>
                <w:vertAlign w:val="baseline"/>
                <w:lang w:eastAsia="zh-CN"/>
              </w:rPr>
              <w:t>住房、人才公寓</w:t>
            </w:r>
          </w:p>
        </w:tc>
        <w:tc>
          <w:tcPr>
            <w:tcW w:w="10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eastAsia="zh-CN"/>
              </w:rPr>
              <w:t>调整前</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1.00元</w:t>
            </w: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2.40</w:t>
            </w:r>
          </w:p>
        </w:tc>
        <w:tc>
          <w:tcPr>
            <w:tcW w:w="17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p>
        </w:tc>
        <w:tc>
          <w:tcPr>
            <w:tcW w:w="10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eastAsia="zh-CN"/>
              </w:rPr>
              <w:t>县城调整后步梯房</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1.25元</w:t>
            </w: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3.00</w:t>
            </w:r>
          </w:p>
        </w:tc>
        <w:tc>
          <w:tcPr>
            <w:tcW w:w="17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5.00</w:t>
            </w:r>
          </w:p>
        </w:tc>
        <w:tc>
          <w:tcPr>
            <w:tcW w:w="10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eastAsia="zh-CN"/>
              </w:rPr>
              <w:t>县城调整后电梯房</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val="en-US" w:eastAsia="zh-CN"/>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8.50</w:t>
            </w:r>
          </w:p>
        </w:tc>
        <w:tc>
          <w:tcPr>
            <w:tcW w:w="10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eastAsia="zh-CN"/>
              </w:rPr>
              <w:t>乡镇（步梯房）</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val="en-US" w:eastAsia="zh-CN"/>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4.00</w:t>
            </w:r>
          </w:p>
        </w:tc>
        <w:tc>
          <w:tcPr>
            <w:tcW w:w="10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r>
              <w:rPr>
                <w:rFonts w:hint="eastAsia" w:ascii="仿宋_GB2312" w:hAnsi="仿宋_GB2312" w:eastAsia="仿宋_GB2312" w:cs="仿宋_GB2312"/>
                <w:color w:val="C00000"/>
                <w:sz w:val="32"/>
                <w:szCs w:val="32"/>
                <w:highlight w:val="none"/>
                <w:vertAlign w:val="baseline"/>
                <w:lang w:eastAsia="zh-CN"/>
              </w:rPr>
              <w:t>乡镇（电梯房）</w:t>
            </w:r>
          </w:p>
        </w:tc>
        <w:tc>
          <w:tcPr>
            <w:tcW w:w="184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val="en-US" w:eastAsia="zh-CN"/>
              </w:rPr>
            </w:pPr>
          </w:p>
        </w:tc>
        <w:tc>
          <w:tcPr>
            <w:tcW w:w="16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val="en-US" w:eastAsia="zh-CN"/>
              </w:rPr>
            </w:pPr>
          </w:p>
        </w:tc>
        <w:tc>
          <w:tcPr>
            <w:tcW w:w="171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C00000"/>
                <w:sz w:val="32"/>
                <w:szCs w:val="32"/>
                <w:highlight w:val="none"/>
                <w:vertAlign w:val="baseline"/>
                <w:lang w:val="en-US" w:eastAsia="zh-CN"/>
              </w:rPr>
            </w:pPr>
            <w:r>
              <w:rPr>
                <w:rFonts w:hint="eastAsia" w:ascii="仿宋_GB2312" w:hAnsi="仿宋_GB2312" w:eastAsia="仿宋_GB2312" w:cs="仿宋_GB2312"/>
                <w:color w:val="C00000"/>
                <w:sz w:val="32"/>
                <w:szCs w:val="32"/>
                <w:highlight w:val="none"/>
                <w:vertAlign w:val="baseline"/>
                <w:lang w:val="en-US" w:eastAsia="zh-CN"/>
              </w:rPr>
              <w:t>6.00</w:t>
            </w:r>
          </w:p>
        </w:tc>
        <w:tc>
          <w:tcPr>
            <w:tcW w:w="1056"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5B7975"/>
    <w:multiLevelType w:val="singleLevel"/>
    <w:tmpl w:val="355B79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ZTA4MzI2N2ZjOGZiMzQ5MDg1OWYwM2ExMTMzOGYifQ=="/>
  </w:docVars>
  <w:rsids>
    <w:rsidRoot w:val="00000000"/>
    <w:rsid w:val="018B32D0"/>
    <w:rsid w:val="057A17B3"/>
    <w:rsid w:val="0708176C"/>
    <w:rsid w:val="0A6E7B73"/>
    <w:rsid w:val="0C702935"/>
    <w:rsid w:val="0D6C40D7"/>
    <w:rsid w:val="0E404148"/>
    <w:rsid w:val="0E6B0CDA"/>
    <w:rsid w:val="0E7E2314"/>
    <w:rsid w:val="0F4E7F38"/>
    <w:rsid w:val="11072A94"/>
    <w:rsid w:val="112C6ECF"/>
    <w:rsid w:val="14973315"/>
    <w:rsid w:val="15363948"/>
    <w:rsid w:val="153A622E"/>
    <w:rsid w:val="18387FB3"/>
    <w:rsid w:val="19F338C6"/>
    <w:rsid w:val="1B994131"/>
    <w:rsid w:val="1ED87E4B"/>
    <w:rsid w:val="202C4905"/>
    <w:rsid w:val="2235037E"/>
    <w:rsid w:val="235B5B93"/>
    <w:rsid w:val="239C7906"/>
    <w:rsid w:val="2621779B"/>
    <w:rsid w:val="291B15DA"/>
    <w:rsid w:val="2BDE587F"/>
    <w:rsid w:val="2CE44FE3"/>
    <w:rsid w:val="2D5C6C83"/>
    <w:rsid w:val="2D663A60"/>
    <w:rsid w:val="2D8D4A86"/>
    <w:rsid w:val="31525535"/>
    <w:rsid w:val="318B1CE1"/>
    <w:rsid w:val="351F3659"/>
    <w:rsid w:val="35F12D83"/>
    <w:rsid w:val="373830F8"/>
    <w:rsid w:val="37A621A3"/>
    <w:rsid w:val="3971469F"/>
    <w:rsid w:val="41AA2395"/>
    <w:rsid w:val="4308547D"/>
    <w:rsid w:val="459760B9"/>
    <w:rsid w:val="47226FD9"/>
    <w:rsid w:val="48BD5E62"/>
    <w:rsid w:val="49527360"/>
    <w:rsid w:val="4A0E0C60"/>
    <w:rsid w:val="4C932C35"/>
    <w:rsid w:val="4D3B2BA3"/>
    <w:rsid w:val="4E6921BB"/>
    <w:rsid w:val="50281361"/>
    <w:rsid w:val="50A10F71"/>
    <w:rsid w:val="52A37E7B"/>
    <w:rsid w:val="544B5DC1"/>
    <w:rsid w:val="54A361C6"/>
    <w:rsid w:val="59E645F2"/>
    <w:rsid w:val="5A952921"/>
    <w:rsid w:val="5B5443B7"/>
    <w:rsid w:val="5DA64068"/>
    <w:rsid w:val="5ED67504"/>
    <w:rsid w:val="60471B32"/>
    <w:rsid w:val="624D3A32"/>
    <w:rsid w:val="64FD3F12"/>
    <w:rsid w:val="6A0E1913"/>
    <w:rsid w:val="6A242ADB"/>
    <w:rsid w:val="6F2601E1"/>
    <w:rsid w:val="751D21C1"/>
    <w:rsid w:val="76710C7B"/>
    <w:rsid w:val="787C3094"/>
    <w:rsid w:val="7992445C"/>
    <w:rsid w:val="7A9630F8"/>
    <w:rsid w:val="7AAD1D53"/>
    <w:rsid w:val="7D1D504C"/>
    <w:rsid w:val="7E232C15"/>
    <w:rsid w:val="7E2D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2024-02-27T02:08:00Z</dcterms:created>
  <dc:creator>PC</dc:creator>
  <cp:lastModifiedBy>微胖界的蜗牛</cp:lastModifiedBy>
  <cp:lastPrinted>2024-04-18T02:22:00Z</cp:lastPrinted>
  <dcterms:modified xsi:type="dcterms:W3CDTF">2024-04-18T09:16:01Z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BFE8AE60925147419D9749DDFF166BD5_13</vt:lpwstr>
  </property>
</Properties>
</file>