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z w:val="52"/>
          <w:szCs w:val="52"/>
          <w:highlight w:val="none"/>
          <w:lang w:eastAsia="zh-CN"/>
        </w:rPr>
      </w:pPr>
      <w:bookmarkStart w:id="0" w:name="_Toc13220"/>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大标宋简体" w:hAnsi="方正大标宋简体" w:eastAsia="方正大标宋简体" w:cs="方正大标宋简体"/>
          <w:sz w:val="52"/>
          <w:szCs w:val="52"/>
          <w:highlight w:val="none"/>
          <w:lang w:eastAsia="zh-CN"/>
        </w:rPr>
      </w:pPr>
      <w:r>
        <w:rPr>
          <w:rFonts w:hint="eastAsia" w:ascii="方正大标宋简体" w:hAnsi="方正大标宋简体" w:eastAsia="方正大标宋简体" w:cs="方正大标宋简体"/>
          <w:sz w:val="52"/>
          <w:szCs w:val="52"/>
          <w:highlight w:val="none"/>
          <w:lang w:eastAsia="zh-CN"/>
        </w:rPr>
        <w:t>新丰县</w:t>
      </w:r>
      <w:r>
        <w:rPr>
          <w:rFonts w:hint="eastAsia" w:ascii="方正大标宋简体" w:hAnsi="方正大标宋简体" w:eastAsia="方正大标宋简体" w:cs="方正大标宋简体"/>
          <w:sz w:val="52"/>
          <w:szCs w:val="52"/>
          <w:highlight w:val="none"/>
          <w:lang w:val="en-US" w:eastAsia="zh-CN"/>
        </w:rPr>
        <w:t>工业高质量发展</w:t>
      </w:r>
      <w:r>
        <w:rPr>
          <w:rFonts w:hint="eastAsia" w:ascii="方正大标宋简体" w:hAnsi="方正大标宋简体" w:eastAsia="方正大标宋简体" w:cs="方正大标宋简体"/>
          <w:sz w:val="52"/>
          <w:szCs w:val="52"/>
          <w:highlight w:val="none"/>
          <w:lang w:eastAsia="zh-CN"/>
        </w:rPr>
        <w:t>“</w:t>
      </w:r>
      <w:r>
        <w:rPr>
          <w:rFonts w:hint="eastAsia" w:ascii="方正大标宋简体" w:hAnsi="方正大标宋简体" w:eastAsia="方正大标宋简体" w:cs="方正大标宋简体"/>
          <w:sz w:val="52"/>
          <w:szCs w:val="52"/>
          <w:highlight w:val="none"/>
          <w:lang w:val="en-US" w:eastAsia="zh-CN"/>
        </w:rPr>
        <w:t>十四五</w:t>
      </w:r>
      <w:r>
        <w:rPr>
          <w:rFonts w:hint="eastAsia" w:ascii="方正大标宋简体" w:hAnsi="方正大标宋简体" w:eastAsia="方正大标宋简体" w:cs="方正大标宋简体"/>
          <w:sz w:val="52"/>
          <w:szCs w:val="52"/>
          <w:highlight w:val="none"/>
          <w:lang w:eastAsia="zh-CN"/>
        </w:rPr>
        <w:t>”规划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大标宋简体" w:hAnsi="方正大标宋简体" w:eastAsia="方正大标宋简体" w:cs="方正大标宋简体"/>
          <w:sz w:val="52"/>
          <w:szCs w:val="52"/>
          <w:highlight w:val="none"/>
          <w:lang w:eastAsia="zh-CN"/>
        </w:rPr>
      </w:pPr>
      <w:r>
        <w:rPr>
          <w:rFonts w:hint="eastAsia" w:ascii="方正大标宋简体" w:hAnsi="方正大标宋简体" w:eastAsia="方正大标宋简体" w:cs="方正大标宋简体"/>
          <w:sz w:val="52"/>
          <w:szCs w:val="52"/>
          <w:highlight w:val="none"/>
          <w:lang w:eastAsia="zh-CN"/>
        </w:rPr>
        <w:t>（</w:t>
      </w:r>
      <w:r>
        <w:rPr>
          <w:rFonts w:hint="eastAsia" w:ascii="方正大标宋简体" w:hAnsi="方正大标宋简体" w:eastAsia="方正大标宋简体" w:cs="方正大标宋简体"/>
          <w:sz w:val="52"/>
          <w:szCs w:val="52"/>
          <w:highlight w:val="none"/>
          <w:lang w:val="en-US" w:eastAsia="zh-CN"/>
        </w:rPr>
        <w:t>2021-2025</w:t>
      </w:r>
      <w:r>
        <w:rPr>
          <w:rFonts w:hint="eastAsia" w:ascii="方正大标宋简体" w:hAnsi="方正大标宋简体" w:eastAsia="方正大标宋简体" w:cs="方正大标宋简体"/>
          <w:sz w:val="52"/>
          <w:szCs w:val="5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z w:val="52"/>
          <w:szCs w:val="52"/>
          <w:highlight w:val="none"/>
          <w:lang w:eastAsia="zh-CN"/>
        </w:rPr>
      </w:pPr>
      <w:r>
        <w:rPr>
          <w:rFonts w:hint="eastAsia" w:ascii="方正大标宋简体" w:hAnsi="方正大标宋简体" w:eastAsia="方正大标宋简体" w:cs="方正大标宋简体"/>
          <w:sz w:val="52"/>
          <w:szCs w:val="52"/>
          <w:highlight w:val="none"/>
          <w:lang w:eastAsia="zh-CN"/>
        </w:rPr>
        <w:t>（送审稿）</w:t>
      </w: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pStyle w:val="2"/>
        <w:rPr>
          <w:rFonts w:hint="eastAsia"/>
          <w:lang w:val="en-US" w:eastAsia="zh-CN"/>
        </w:rPr>
      </w:pPr>
    </w:p>
    <w:p>
      <w:pPr>
        <w:pStyle w:val="2"/>
        <w:rPr>
          <w:rFonts w:hint="eastAsia" w:ascii="宋体" w:hAnsi="宋体" w:eastAsia="宋体" w:cs="宋体"/>
          <w:b/>
          <w:color w:val="auto"/>
          <w:sz w:val="32"/>
          <w:highlight w:val="none"/>
          <w:lang w:val="en-US" w:eastAsia="zh-CN"/>
        </w:rPr>
      </w:pPr>
    </w:p>
    <w:p>
      <w:pPr>
        <w:spacing w:line="360" w:lineRule="auto"/>
        <w:ind w:left="0" w:leftChars="0" w:firstLine="0" w:firstLineChars="0"/>
        <w:jc w:val="both"/>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新丰县工业和信息化局</w:t>
      </w:r>
    </w:p>
    <w:p>
      <w:pPr>
        <w:spacing w:line="360" w:lineRule="auto"/>
        <w:ind w:left="0" w:leftChars="0" w:firstLine="0" w:firstLineChars="0"/>
        <w:jc w:val="center"/>
        <w:rPr>
          <w:rFonts w:hint="eastAsia" w:ascii="仿宋_GB2312" w:hAnsi="仿宋_GB2312" w:eastAsia="仿宋_GB2312" w:cs="仿宋_GB2312"/>
          <w:sz w:val="32"/>
          <w:szCs w:val="32"/>
          <w:lang w:eastAsia="zh-CN"/>
        </w:rPr>
      </w:pPr>
      <w:r>
        <w:rPr>
          <w:rFonts w:hint="eastAsia" w:ascii="宋体" w:hAnsi="宋体" w:eastAsia="宋体" w:cs="宋体"/>
          <w:b/>
          <w:color w:val="auto"/>
          <w:sz w:val="32"/>
          <w:highlight w:val="none"/>
        </w:rPr>
        <w:t>二〇</w:t>
      </w:r>
      <w:r>
        <w:rPr>
          <w:rFonts w:hint="eastAsia" w:ascii="宋体" w:hAnsi="宋体" w:eastAsia="宋体" w:cs="宋体"/>
          <w:b/>
          <w:color w:val="auto"/>
          <w:sz w:val="32"/>
          <w:highlight w:val="none"/>
          <w:lang w:val="en-US" w:eastAsia="zh-CN"/>
        </w:rPr>
        <w:t>二</w:t>
      </w:r>
      <w:r>
        <w:rPr>
          <w:rFonts w:hint="eastAsia" w:ascii="宋体" w:hAnsi="宋体" w:eastAsia="宋体" w:cs="宋体"/>
          <w:b/>
          <w:color w:val="auto"/>
          <w:sz w:val="32"/>
          <w:highlight w:val="none"/>
        </w:rPr>
        <w:t>〇年</w:t>
      </w:r>
      <w:r>
        <w:rPr>
          <w:rFonts w:hint="eastAsia" w:ascii="宋体" w:hAnsi="宋体" w:eastAsia="宋体" w:cs="宋体"/>
          <w:b/>
          <w:color w:val="auto"/>
          <w:sz w:val="32"/>
          <w:highlight w:val="none"/>
          <w:lang w:val="en-US" w:eastAsia="zh-CN"/>
        </w:rPr>
        <w:t>十</w:t>
      </w:r>
      <w:r>
        <w:rPr>
          <w:rFonts w:hint="eastAsia" w:ascii="宋体" w:hAnsi="宋体" w:eastAsia="宋体" w:cs="宋体"/>
          <w:b/>
          <w:color w:val="auto"/>
          <w:sz w:val="32"/>
          <w:highlight w:val="none"/>
        </w:rPr>
        <w:t>月</w:t>
      </w:r>
    </w:p>
    <w:p>
      <w:pPr>
        <w:pStyle w:val="3"/>
        <w:ind w:left="0" w:leftChars="0" w:firstLine="0" w:firstLineChars="0"/>
        <w:jc w:val="center"/>
        <w:rPr>
          <w:rFonts w:ascii="黑体" w:hAnsi="黑体" w:eastAsia="黑体"/>
          <w:sz w:val="44"/>
          <w:szCs w:val="44"/>
        </w:rPr>
      </w:pPr>
      <w:r>
        <w:rPr>
          <w:rFonts w:hint="eastAsia" w:ascii="黑体" w:hAnsi="黑体" w:eastAsia="黑体"/>
          <w:sz w:val="44"/>
          <w:szCs w:val="44"/>
        </w:rPr>
        <w:t>前</w:t>
      </w:r>
      <w:r>
        <w:rPr>
          <w:rFonts w:ascii="黑体" w:hAnsi="黑体" w:eastAsia="黑体"/>
          <w:sz w:val="44"/>
          <w:szCs w:val="44"/>
        </w:rPr>
        <w:t xml:space="preserve"> </w:t>
      </w:r>
      <w:r>
        <w:rPr>
          <w:rFonts w:hint="eastAsia" w:ascii="黑体" w:hAnsi="黑体" w:eastAsia="黑体"/>
          <w:sz w:val="44"/>
          <w:szCs w:val="44"/>
        </w:rPr>
        <w:t>言</w:t>
      </w:r>
      <w:bookmarkEnd w:id="0"/>
    </w:p>
    <w:p>
      <w:pPr>
        <w:widowControl/>
        <w:ind w:firstLine="640" w:firstLineChars="200"/>
        <w:rPr>
          <w:rFonts w:hint="eastAsia" w:ascii="仿宋" w:hAnsi="仿宋" w:eastAsia="仿宋"/>
          <w:color w:val="000000"/>
          <w:sz w:val="32"/>
          <w:szCs w:val="36"/>
        </w:rPr>
      </w:pPr>
      <w:r>
        <w:rPr>
          <w:rFonts w:hint="eastAsia" w:ascii="仿宋" w:hAnsi="仿宋" w:eastAsia="仿宋"/>
          <w:color w:val="000000"/>
          <w:sz w:val="32"/>
          <w:szCs w:val="36"/>
        </w:rPr>
        <w:t>“十四五”时期（2021-2025年）是我国全面建成小康社会、实现第一个百年奋斗目标之后，乘势而上开启全面建设社会主义现代化国家新征程、向第二个百年奋斗目标进军的第一个五年，也是新丰县工业转变发展方式，优化产业结构，向制造业中高端水平不断迈进，实现工业高质量发展的重要时期。</w:t>
      </w:r>
    </w:p>
    <w:p>
      <w:pPr>
        <w:widowControl/>
        <w:ind w:firstLine="640" w:firstLineChars="200"/>
        <w:rPr>
          <w:rFonts w:hint="eastAsia" w:ascii="仿宋" w:hAnsi="仿宋" w:eastAsia="仿宋"/>
          <w:color w:val="000000"/>
          <w:sz w:val="32"/>
          <w:szCs w:val="36"/>
        </w:rPr>
      </w:pPr>
      <w:r>
        <w:rPr>
          <w:rFonts w:hint="eastAsia" w:ascii="仿宋" w:hAnsi="仿宋" w:eastAsia="仿宋"/>
          <w:color w:val="000000"/>
          <w:sz w:val="32"/>
          <w:szCs w:val="36"/>
        </w:rPr>
        <w:t>根据国务院印发《中国制造2025》、《粤港澳大湾区发展规划纲要》，广东省政府印发《关于推动制造业高质量发展的意见》，《新丰县国民经济和社会发展第十四个五年规划纲要》（征求意见稿）及《新丰县产业发展规划（2018—2025年）》的总体要求，结合新丰县工业经济发展现状，编制本规划（</w:t>
      </w:r>
      <w:r>
        <w:rPr>
          <w:rFonts w:hint="default" w:ascii="仿宋" w:hAnsi="仿宋"/>
          <w:color w:val="000000"/>
          <w:sz w:val="32"/>
          <w:szCs w:val="36"/>
        </w:rPr>
        <w:t>送审</w:t>
      </w:r>
      <w:r>
        <w:rPr>
          <w:rFonts w:hint="eastAsia" w:ascii="仿宋" w:hAnsi="仿宋" w:eastAsia="仿宋"/>
          <w:color w:val="000000"/>
          <w:sz w:val="32"/>
          <w:szCs w:val="36"/>
        </w:rPr>
        <w:t>稿），规划期为2021-2025年。</w:t>
      </w:r>
    </w:p>
    <w:p>
      <w:pPr>
        <w:widowControl/>
        <w:ind w:firstLine="640" w:firstLineChars="200"/>
        <w:rPr>
          <w:rFonts w:ascii="仿宋" w:hAnsi="仿宋" w:eastAsia="仿宋"/>
          <w:color w:val="000000"/>
          <w:sz w:val="32"/>
          <w:szCs w:val="36"/>
        </w:rPr>
      </w:pPr>
    </w:p>
    <w:p>
      <w:pPr>
        <w:widowControl/>
        <w:jc w:val="left"/>
        <w:rPr>
          <w:rFonts w:ascii="仿宋" w:hAnsi="仿宋" w:eastAsia="仿宋"/>
          <w:color w:val="000000"/>
          <w:sz w:val="32"/>
          <w:szCs w:val="36"/>
        </w:rPr>
      </w:pPr>
      <w:r>
        <w:rPr>
          <w:rFonts w:ascii="仿宋" w:hAnsi="仿宋" w:eastAsia="仿宋"/>
          <w:color w:val="000000"/>
          <w:sz w:val="32"/>
          <w:szCs w:val="36"/>
        </w:rPr>
        <w:br w:type="page"/>
      </w:r>
    </w:p>
    <w:p>
      <w:pPr>
        <w:pStyle w:val="29"/>
        <w:pageBreakBefore w:val="0"/>
        <w:kinsoku/>
        <w:wordWrap/>
        <w:overflowPunct/>
        <w:topLinePunct w:val="0"/>
        <w:autoSpaceDE/>
        <w:autoSpaceDN/>
        <w:bidi w:val="0"/>
        <w:adjustRightInd/>
        <w:snapToGrid/>
        <w:spacing w:before="0" w:after="0"/>
        <w:ind w:left="0" w:leftChars="0" w:right="0" w:rightChars="0" w:firstLine="0" w:firstLineChars="0"/>
        <w:jc w:val="center"/>
        <w:textAlignment w:val="auto"/>
        <w:outlineLvl w:val="0"/>
        <w:rPr>
          <w:rFonts w:ascii="黑体" w:hAnsi="黑体" w:eastAsia="黑体"/>
          <w:b/>
          <w:bCs/>
          <w:color w:val="auto"/>
          <w:kern w:val="44"/>
          <w:sz w:val="44"/>
          <w:szCs w:val="44"/>
        </w:rPr>
      </w:pPr>
      <w:bookmarkStart w:id="1" w:name="_Toc22719"/>
      <w:r>
        <w:rPr>
          <w:rFonts w:hint="eastAsia" w:ascii="黑体" w:hAnsi="黑体" w:eastAsia="黑体"/>
          <w:b/>
          <w:bCs/>
          <w:color w:val="auto"/>
          <w:kern w:val="44"/>
          <w:sz w:val="44"/>
          <w:szCs w:val="44"/>
          <w:lang w:val="zh-CN"/>
        </w:rPr>
        <w:t>目 录</w:t>
      </w:r>
      <w:bookmarkEnd w:id="1"/>
    </w:p>
    <w:p>
      <w:pPr>
        <w:pStyle w:val="11"/>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 w:val="32"/>
          <w:szCs w:val="32"/>
        </w:rPr>
        <w:fldChar w:fldCharType="begin"/>
      </w:r>
      <w:r>
        <w:rPr>
          <w:sz w:val="32"/>
          <w:szCs w:val="32"/>
        </w:rPr>
        <w:instrText xml:space="preserve"> TOC \o "1-3" \h \z \u </w:instrText>
      </w:r>
      <w:r>
        <w:rPr>
          <w:sz w:val="32"/>
          <w:szCs w:val="32"/>
        </w:rPr>
        <w:fldChar w:fldCharType="separate"/>
      </w:r>
    </w:p>
    <w:p>
      <w:pPr>
        <w:pStyle w:val="11"/>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_Toc19595 </w:instrText>
      </w:r>
      <w:r>
        <w:rPr>
          <w:szCs w:val="32"/>
        </w:rPr>
        <w:fldChar w:fldCharType="separate"/>
      </w:r>
      <w:r>
        <w:rPr>
          <w:rFonts w:hint="eastAsia" w:ascii="黑体" w:hAnsi="黑体" w:eastAsia="黑体" w:cs="Times New Roman"/>
          <w:szCs w:val="32"/>
        </w:rPr>
        <w:t xml:space="preserve">一、 </w:t>
      </w:r>
      <w:r>
        <w:rPr>
          <w:rFonts w:hint="eastAsia" w:ascii="黑体" w:hAnsi="黑体" w:eastAsia="黑体"/>
          <w:szCs w:val="32"/>
        </w:rPr>
        <w:t>发展条件</w:t>
      </w:r>
      <w:r>
        <w:tab/>
      </w:r>
      <w:r>
        <w:fldChar w:fldCharType="begin"/>
      </w:r>
      <w:r>
        <w:instrText xml:space="preserve"> PAGEREF _Toc19595 </w:instrText>
      </w:r>
      <w:r>
        <w:fldChar w:fldCharType="separate"/>
      </w:r>
      <w:r>
        <w:t>1</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_Toc26364 </w:instrText>
      </w:r>
      <w:r>
        <w:rPr>
          <w:szCs w:val="32"/>
        </w:rPr>
        <w:fldChar w:fldCharType="separate"/>
      </w:r>
      <w:r>
        <w:rPr>
          <w:rFonts w:hint="eastAsia" w:ascii="楷体" w:hAnsi="楷体" w:eastAsia="楷体" w:cs="Times New Roman"/>
          <w:bCs/>
          <w:szCs w:val="32"/>
        </w:rPr>
        <w:t xml:space="preserve">(一) </w:t>
      </w:r>
      <w:r>
        <w:rPr>
          <w:rFonts w:hint="eastAsia" w:ascii="楷体" w:hAnsi="楷体" w:eastAsia="楷体"/>
          <w:bCs/>
          <w:szCs w:val="32"/>
        </w:rPr>
        <w:t>发展基础</w:t>
      </w:r>
      <w:r>
        <w:tab/>
      </w:r>
      <w:r>
        <w:fldChar w:fldCharType="begin"/>
      </w:r>
      <w:r>
        <w:instrText xml:space="preserve"> PAGEREF _Toc26364 </w:instrText>
      </w:r>
      <w:r>
        <w:fldChar w:fldCharType="separate"/>
      </w:r>
      <w:r>
        <w:t>1</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_Toc6296 </w:instrText>
      </w:r>
      <w:r>
        <w:rPr>
          <w:szCs w:val="32"/>
        </w:rPr>
        <w:fldChar w:fldCharType="separate"/>
      </w:r>
      <w:r>
        <w:rPr>
          <w:rFonts w:hint="eastAsia" w:ascii="楷体" w:hAnsi="楷体" w:eastAsia="楷体" w:cs="Times New Roman"/>
          <w:bCs/>
          <w:szCs w:val="32"/>
        </w:rPr>
        <w:t xml:space="preserve">(二) </w:t>
      </w:r>
      <w:r>
        <w:rPr>
          <w:rFonts w:hint="eastAsia" w:ascii="楷体" w:hAnsi="楷体" w:eastAsia="楷体"/>
          <w:bCs/>
          <w:szCs w:val="32"/>
        </w:rPr>
        <w:t>存在问题</w:t>
      </w:r>
      <w:r>
        <w:tab/>
      </w:r>
      <w:r>
        <w:fldChar w:fldCharType="begin"/>
      </w:r>
      <w:r>
        <w:instrText xml:space="preserve"> PAGEREF _Toc6296 </w:instrText>
      </w:r>
      <w:r>
        <w:fldChar w:fldCharType="separate"/>
      </w:r>
      <w:r>
        <w:t>3</w:t>
      </w:r>
      <w:r>
        <w:fldChar w:fldCharType="end"/>
      </w:r>
      <w:r>
        <w:rPr>
          <w:szCs w:val="32"/>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_Toc6568 </w:instrText>
      </w:r>
      <w:r>
        <w:rPr>
          <w:szCs w:val="32"/>
        </w:rPr>
        <w:fldChar w:fldCharType="separate"/>
      </w:r>
      <w:r>
        <w:rPr>
          <w:rFonts w:hint="eastAsia" w:ascii="黑体" w:hAnsi="黑体" w:eastAsia="黑体" w:cs="Times New Roman"/>
          <w:szCs w:val="32"/>
        </w:rPr>
        <w:t xml:space="preserve">二、 </w:t>
      </w:r>
      <w:r>
        <w:rPr>
          <w:rFonts w:hint="eastAsia" w:ascii="黑体" w:hAnsi="黑体" w:eastAsia="黑体"/>
          <w:szCs w:val="32"/>
        </w:rPr>
        <w:t>发展机遇</w:t>
      </w:r>
      <w:r>
        <w:tab/>
      </w:r>
      <w:r>
        <w:fldChar w:fldCharType="begin"/>
      </w:r>
      <w:r>
        <w:instrText xml:space="preserve"> PAGEREF _Toc6568 </w:instrText>
      </w:r>
      <w:r>
        <w:fldChar w:fldCharType="separate"/>
      </w:r>
      <w:r>
        <w:t>4</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_Toc19131 </w:instrText>
      </w:r>
      <w:r>
        <w:rPr>
          <w:szCs w:val="32"/>
        </w:rPr>
        <w:fldChar w:fldCharType="separate"/>
      </w:r>
      <w:r>
        <w:rPr>
          <w:rFonts w:hint="eastAsia" w:ascii="楷体" w:hAnsi="楷体" w:eastAsia="楷体" w:cs="Times New Roman"/>
          <w:bCs/>
          <w:szCs w:val="32"/>
        </w:rPr>
        <w:t xml:space="preserve">(一) </w:t>
      </w:r>
      <w:r>
        <w:rPr>
          <w:rFonts w:hint="eastAsia" w:ascii="楷体" w:hAnsi="楷体" w:eastAsia="楷体"/>
          <w:bCs/>
          <w:szCs w:val="32"/>
        </w:rPr>
        <w:t>面临形势</w:t>
      </w:r>
      <w:r>
        <w:tab/>
      </w:r>
      <w:r>
        <w:fldChar w:fldCharType="begin"/>
      </w:r>
      <w:r>
        <w:instrText xml:space="preserve"> PAGEREF _Toc19131 </w:instrText>
      </w:r>
      <w:r>
        <w:fldChar w:fldCharType="separate"/>
      </w:r>
      <w:r>
        <w:t>4</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_Toc30957 </w:instrText>
      </w:r>
      <w:r>
        <w:rPr>
          <w:szCs w:val="32"/>
        </w:rPr>
        <w:fldChar w:fldCharType="separate"/>
      </w:r>
      <w:r>
        <w:rPr>
          <w:rFonts w:hint="eastAsia" w:ascii="楷体" w:hAnsi="楷体" w:eastAsia="楷体" w:cs="Times New Roman"/>
          <w:bCs/>
          <w:szCs w:val="32"/>
        </w:rPr>
        <w:t xml:space="preserve">(二) </w:t>
      </w:r>
      <w:r>
        <w:rPr>
          <w:rFonts w:hint="eastAsia" w:ascii="楷体" w:hAnsi="楷体" w:eastAsia="楷体"/>
          <w:bCs/>
          <w:szCs w:val="32"/>
        </w:rPr>
        <w:t>主要挑战</w:t>
      </w:r>
      <w:r>
        <w:tab/>
      </w:r>
      <w:r>
        <w:fldChar w:fldCharType="begin"/>
      </w:r>
      <w:r>
        <w:instrText xml:space="preserve"> PAGEREF _Toc30957 </w:instrText>
      </w:r>
      <w:r>
        <w:fldChar w:fldCharType="separate"/>
      </w:r>
      <w:r>
        <w:t>6</w:t>
      </w:r>
      <w:r>
        <w:fldChar w:fldCharType="end"/>
      </w:r>
      <w:r>
        <w:rPr>
          <w:szCs w:val="32"/>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_Toc20358 </w:instrText>
      </w:r>
      <w:r>
        <w:rPr>
          <w:szCs w:val="32"/>
        </w:rPr>
        <w:fldChar w:fldCharType="separate"/>
      </w:r>
      <w:r>
        <w:rPr>
          <w:rFonts w:hint="eastAsia" w:ascii="黑体" w:hAnsi="黑体" w:eastAsia="黑体" w:cs="Times New Roman"/>
          <w:szCs w:val="32"/>
        </w:rPr>
        <w:t xml:space="preserve">三、 </w:t>
      </w:r>
      <w:r>
        <w:rPr>
          <w:rFonts w:hint="eastAsia" w:ascii="黑体" w:hAnsi="黑体" w:eastAsia="黑体"/>
          <w:szCs w:val="32"/>
        </w:rPr>
        <w:t>总体思路</w:t>
      </w:r>
      <w:r>
        <w:tab/>
      </w:r>
      <w:r>
        <w:fldChar w:fldCharType="begin"/>
      </w:r>
      <w:r>
        <w:instrText xml:space="preserve"> PAGEREF _Toc20358 </w:instrText>
      </w:r>
      <w:r>
        <w:fldChar w:fldCharType="separate"/>
      </w:r>
      <w:r>
        <w:t>7</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_Toc30682 </w:instrText>
      </w:r>
      <w:r>
        <w:rPr>
          <w:szCs w:val="32"/>
        </w:rPr>
        <w:fldChar w:fldCharType="separate"/>
      </w:r>
      <w:r>
        <w:rPr>
          <w:rFonts w:hint="eastAsia" w:ascii="楷体" w:hAnsi="楷体" w:eastAsia="楷体" w:cs="Times New Roman"/>
          <w:bCs/>
          <w:szCs w:val="32"/>
        </w:rPr>
        <w:t xml:space="preserve">(一) </w:t>
      </w:r>
      <w:r>
        <w:rPr>
          <w:rFonts w:hint="eastAsia" w:ascii="楷体" w:hAnsi="楷体" w:eastAsia="楷体"/>
          <w:bCs/>
          <w:szCs w:val="32"/>
        </w:rPr>
        <w:t>指导思想</w:t>
      </w:r>
      <w:r>
        <w:tab/>
      </w:r>
      <w:r>
        <w:fldChar w:fldCharType="begin"/>
      </w:r>
      <w:r>
        <w:instrText xml:space="preserve"> PAGEREF _Toc30682 </w:instrText>
      </w:r>
      <w:r>
        <w:fldChar w:fldCharType="separate"/>
      </w:r>
      <w:r>
        <w:t>7</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_Toc19312 </w:instrText>
      </w:r>
      <w:r>
        <w:rPr>
          <w:szCs w:val="32"/>
        </w:rPr>
        <w:fldChar w:fldCharType="separate"/>
      </w:r>
      <w:r>
        <w:rPr>
          <w:rFonts w:hint="eastAsia" w:ascii="楷体" w:hAnsi="楷体" w:eastAsia="楷体" w:cs="Times New Roman"/>
          <w:bCs/>
          <w:szCs w:val="32"/>
        </w:rPr>
        <w:t xml:space="preserve">(二) </w:t>
      </w:r>
      <w:r>
        <w:rPr>
          <w:rFonts w:hint="eastAsia" w:ascii="楷体" w:hAnsi="楷体" w:eastAsia="楷体"/>
          <w:bCs/>
          <w:szCs w:val="32"/>
        </w:rPr>
        <w:t>发展原则</w:t>
      </w:r>
      <w:r>
        <w:tab/>
      </w:r>
      <w:r>
        <w:fldChar w:fldCharType="begin"/>
      </w:r>
      <w:r>
        <w:instrText xml:space="preserve"> PAGEREF _Toc19312 </w:instrText>
      </w:r>
      <w:r>
        <w:fldChar w:fldCharType="separate"/>
      </w:r>
      <w:r>
        <w:t>8</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_Toc14379 </w:instrText>
      </w:r>
      <w:r>
        <w:rPr>
          <w:szCs w:val="32"/>
        </w:rPr>
        <w:fldChar w:fldCharType="separate"/>
      </w:r>
      <w:r>
        <w:rPr>
          <w:rFonts w:hint="eastAsia" w:ascii="楷体" w:hAnsi="楷体" w:eastAsia="楷体" w:cs="Times New Roman"/>
          <w:bCs/>
          <w:szCs w:val="32"/>
        </w:rPr>
        <w:t xml:space="preserve">(三) </w:t>
      </w:r>
      <w:r>
        <w:rPr>
          <w:rFonts w:hint="eastAsia" w:ascii="楷体" w:hAnsi="楷体" w:eastAsia="楷体"/>
          <w:bCs/>
          <w:szCs w:val="32"/>
        </w:rPr>
        <w:t>发展目标</w:t>
      </w:r>
      <w:r>
        <w:tab/>
      </w:r>
      <w:r>
        <w:fldChar w:fldCharType="begin"/>
      </w:r>
      <w:r>
        <w:instrText xml:space="preserve"> PAGEREF _Toc14379 </w:instrText>
      </w:r>
      <w:r>
        <w:fldChar w:fldCharType="separate"/>
      </w:r>
      <w:r>
        <w:t>9</w:t>
      </w:r>
      <w:r>
        <w:fldChar w:fldCharType="end"/>
      </w:r>
      <w:r>
        <w:rPr>
          <w:szCs w:val="32"/>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_Toc5112 </w:instrText>
      </w:r>
      <w:r>
        <w:rPr>
          <w:szCs w:val="32"/>
        </w:rPr>
        <w:fldChar w:fldCharType="separate"/>
      </w:r>
      <w:r>
        <w:rPr>
          <w:rFonts w:hint="eastAsia" w:ascii="黑体" w:hAnsi="黑体" w:eastAsia="黑体" w:cs="Times New Roman"/>
          <w:szCs w:val="32"/>
        </w:rPr>
        <w:t xml:space="preserve">四、 </w:t>
      </w:r>
      <w:r>
        <w:rPr>
          <w:rFonts w:hint="eastAsia" w:ascii="黑体" w:hAnsi="黑体" w:eastAsia="黑体"/>
          <w:szCs w:val="32"/>
        </w:rPr>
        <w:t>发展重点</w:t>
      </w:r>
      <w:r>
        <w:tab/>
      </w:r>
      <w:r>
        <w:fldChar w:fldCharType="begin"/>
      </w:r>
      <w:r>
        <w:instrText xml:space="preserve"> PAGEREF _Toc5112 </w:instrText>
      </w:r>
      <w:r>
        <w:fldChar w:fldCharType="separate"/>
      </w:r>
      <w:r>
        <w:t>10</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_Toc20805 </w:instrText>
      </w:r>
      <w:r>
        <w:rPr>
          <w:szCs w:val="32"/>
        </w:rPr>
        <w:fldChar w:fldCharType="separate"/>
      </w:r>
      <w:r>
        <w:rPr>
          <w:rFonts w:hint="eastAsia" w:ascii="楷体" w:hAnsi="楷体" w:eastAsia="楷体" w:cs="Times New Roman"/>
          <w:bCs/>
          <w:szCs w:val="32"/>
        </w:rPr>
        <w:t xml:space="preserve">(一) </w:t>
      </w:r>
      <w:r>
        <w:rPr>
          <w:rFonts w:hint="eastAsia" w:ascii="楷体" w:hAnsi="楷体" w:eastAsia="楷体"/>
          <w:bCs/>
          <w:szCs w:val="32"/>
        </w:rPr>
        <w:t>优化升级传统优势产业</w:t>
      </w:r>
      <w:r>
        <w:tab/>
      </w:r>
      <w:r>
        <w:fldChar w:fldCharType="begin"/>
      </w:r>
      <w:r>
        <w:instrText xml:space="preserve"> PAGEREF _Toc20805 </w:instrText>
      </w:r>
      <w:r>
        <w:fldChar w:fldCharType="separate"/>
      </w:r>
      <w:r>
        <w:t>11</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_Toc17197 </w:instrText>
      </w:r>
      <w:r>
        <w:rPr>
          <w:szCs w:val="32"/>
        </w:rPr>
        <w:fldChar w:fldCharType="separate"/>
      </w:r>
      <w:r>
        <w:rPr>
          <w:rFonts w:hint="eastAsia" w:ascii="仿宋" w:hAnsi="仿宋" w:eastAsia="仿宋" w:cs="Times New Roman"/>
          <w:bCs/>
          <w:szCs w:val="32"/>
        </w:rPr>
        <w:t xml:space="preserve">1. </w:t>
      </w:r>
      <w:r>
        <w:rPr>
          <w:rFonts w:hint="eastAsia" w:ascii="仿宋" w:hAnsi="仿宋" w:eastAsia="仿宋"/>
          <w:bCs/>
          <w:szCs w:val="32"/>
        </w:rPr>
        <w:t>新型建材产业</w:t>
      </w:r>
      <w:r>
        <w:tab/>
      </w:r>
      <w:r>
        <w:fldChar w:fldCharType="begin"/>
      </w:r>
      <w:r>
        <w:instrText xml:space="preserve"> PAGEREF _Toc17197 </w:instrText>
      </w:r>
      <w:r>
        <w:fldChar w:fldCharType="separate"/>
      </w:r>
      <w:r>
        <w:t>11</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_Toc23614 </w:instrText>
      </w:r>
      <w:r>
        <w:rPr>
          <w:szCs w:val="32"/>
        </w:rPr>
        <w:fldChar w:fldCharType="separate"/>
      </w:r>
      <w:r>
        <w:rPr>
          <w:rFonts w:hint="eastAsia" w:ascii="仿宋" w:hAnsi="仿宋" w:eastAsia="仿宋" w:cs="Times New Roman"/>
          <w:bCs/>
          <w:szCs w:val="32"/>
        </w:rPr>
        <w:t xml:space="preserve">2. </w:t>
      </w:r>
      <w:r>
        <w:rPr>
          <w:rFonts w:hint="eastAsia" w:ascii="仿宋" w:hAnsi="仿宋" w:eastAsia="仿宋"/>
          <w:bCs/>
          <w:szCs w:val="32"/>
        </w:rPr>
        <w:t>绿色化工产业</w:t>
      </w:r>
      <w:r>
        <w:tab/>
      </w:r>
      <w:r>
        <w:fldChar w:fldCharType="begin"/>
      </w:r>
      <w:r>
        <w:instrText xml:space="preserve"> PAGEREF _Toc23614 </w:instrText>
      </w:r>
      <w:r>
        <w:fldChar w:fldCharType="separate"/>
      </w:r>
      <w:r>
        <w:t>11</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_Toc16417 </w:instrText>
      </w:r>
      <w:r>
        <w:rPr>
          <w:szCs w:val="32"/>
        </w:rPr>
        <w:fldChar w:fldCharType="separate"/>
      </w:r>
      <w:r>
        <w:rPr>
          <w:rFonts w:hint="eastAsia" w:ascii="楷体" w:hAnsi="楷体" w:eastAsia="楷体" w:cs="Times New Roman"/>
          <w:bCs/>
          <w:szCs w:val="32"/>
        </w:rPr>
        <w:t xml:space="preserve">(二) </w:t>
      </w:r>
      <w:r>
        <w:rPr>
          <w:rFonts w:hint="eastAsia" w:ascii="楷体" w:hAnsi="楷体" w:eastAsia="楷体"/>
          <w:bCs/>
          <w:szCs w:val="32"/>
        </w:rPr>
        <w:t>大力发展战略性新兴产业</w:t>
      </w:r>
      <w:r>
        <w:tab/>
      </w:r>
      <w:r>
        <w:fldChar w:fldCharType="begin"/>
      </w:r>
      <w:r>
        <w:instrText xml:space="preserve"> PAGEREF _Toc16417 </w:instrText>
      </w:r>
      <w:r>
        <w:fldChar w:fldCharType="separate"/>
      </w:r>
      <w:r>
        <w:t>12</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_Toc21730 </w:instrText>
      </w:r>
      <w:r>
        <w:rPr>
          <w:szCs w:val="32"/>
        </w:rPr>
        <w:fldChar w:fldCharType="separate"/>
      </w:r>
      <w:r>
        <w:rPr>
          <w:rFonts w:hint="eastAsia" w:ascii="仿宋" w:hAnsi="仿宋" w:eastAsia="仿宋" w:cs="Times New Roman"/>
          <w:bCs/>
          <w:szCs w:val="32"/>
        </w:rPr>
        <w:t xml:space="preserve">1. </w:t>
      </w:r>
      <w:r>
        <w:rPr>
          <w:rFonts w:hint="eastAsia" w:ascii="仿宋" w:hAnsi="仿宋" w:eastAsia="仿宋"/>
          <w:bCs/>
          <w:szCs w:val="32"/>
        </w:rPr>
        <w:t>新能源产业</w:t>
      </w:r>
      <w:r>
        <w:tab/>
      </w:r>
      <w:r>
        <w:fldChar w:fldCharType="begin"/>
      </w:r>
      <w:r>
        <w:instrText xml:space="preserve"> PAGEREF _Toc21730 </w:instrText>
      </w:r>
      <w:r>
        <w:fldChar w:fldCharType="separate"/>
      </w:r>
      <w:r>
        <w:t>12</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_Toc11348 </w:instrText>
      </w:r>
      <w:r>
        <w:rPr>
          <w:szCs w:val="32"/>
        </w:rPr>
        <w:fldChar w:fldCharType="separate"/>
      </w:r>
      <w:r>
        <w:rPr>
          <w:rFonts w:hint="eastAsia" w:ascii="仿宋" w:hAnsi="仿宋" w:eastAsia="仿宋" w:cs="Times New Roman"/>
          <w:bCs/>
          <w:szCs w:val="32"/>
        </w:rPr>
        <w:t xml:space="preserve">2. </w:t>
      </w:r>
      <w:r>
        <w:rPr>
          <w:rFonts w:hint="eastAsia" w:ascii="仿宋" w:hAnsi="仿宋" w:eastAsia="仿宋"/>
          <w:bCs/>
          <w:szCs w:val="32"/>
        </w:rPr>
        <w:t>稀土新材料产业</w:t>
      </w:r>
      <w:r>
        <w:tab/>
      </w:r>
      <w:r>
        <w:fldChar w:fldCharType="begin"/>
      </w:r>
      <w:r>
        <w:instrText xml:space="preserve"> PAGEREF _Toc11348 </w:instrText>
      </w:r>
      <w:r>
        <w:fldChar w:fldCharType="separate"/>
      </w:r>
      <w:r>
        <w:t>12</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_Toc8206 </w:instrText>
      </w:r>
      <w:r>
        <w:rPr>
          <w:szCs w:val="32"/>
        </w:rPr>
        <w:fldChar w:fldCharType="separate"/>
      </w:r>
      <w:r>
        <w:rPr>
          <w:rFonts w:hint="eastAsia" w:ascii="仿宋" w:hAnsi="仿宋" w:eastAsia="仿宋" w:cs="Times New Roman"/>
          <w:bCs/>
          <w:szCs w:val="32"/>
        </w:rPr>
        <w:t xml:space="preserve">3. </w:t>
      </w:r>
      <w:r>
        <w:rPr>
          <w:rFonts w:hint="eastAsia" w:ascii="仿宋" w:hAnsi="仿宋" w:eastAsia="仿宋"/>
          <w:bCs/>
          <w:szCs w:val="32"/>
        </w:rPr>
        <w:t>先进装备制造业</w:t>
      </w:r>
      <w:r>
        <w:tab/>
      </w:r>
      <w:r>
        <w:fldChar w:fldCharType="begin"/>
      </w:r>
      <w:r>
        <w:instrText xml:space="preserve"> PAGEREF _Toc8206 </w:instrText>
      </w:r>
      <w:r>
        <w:fldChar w:fldCharType="separate"/>
      </w:r>
      <w:r>
        <w:t>13</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_Toc25885 </w:instrText>
      </w:r>
      <w:r>
        <w:rPr>
          <w:szCs w:val="32"/>
        </w:rPr>
        <w:fldChar w:fldCharType="separate"/>
      </w:r>
      <w:r>
        <w:rPr>
          <w:rFonts w:hint="eastAsia" w:ascii="仿宋" w:hAnsi="仿宋" w:eastAsia="仿宋" w:cs="Times New Roman"/>
          <w:bCs/>
          <w:szCs w:val="32"/>
        </w:rPr>
        <w:t xml:space="preserve">4. </w:t>
      </w:r>
      <w:r>
        <w:rPr>
          <w:rFonts w:hint="eastAsia" w:ascii="仿宋" w:hAnsi="仿宋" w:eastAsia="仿宋"/>
          <w:bCs/>
          <w:szCs w:val="32"/>
        </w:rPr>
        <w:t>新一代信息技术产业</w:t>
      </w:r>
      <w:r>
        <w:tab/>
      </w:r>
      <w:r>
        <w:fldChar w:fldCharType="begin"/>
      </w:r>
      <w:r>
        <w:instrText xml:space="preserve"> PAGEREF _Toc25885 </w:instrText>
      </w:r>
      <w:r>
        <w:fldChar w:fldCharType="separate"/>
      </w:r>
      <w:r>
        <w:t>13</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_Toc18920 </w:instrText>
      </w:r>
      <w:r>
        <w:rPr>
          <w:szCs w:val="32"/>
        </w:rPr>
        <w:fldChar w:fldCharType="separate"/>
      </w:r>
      <w:r>
        <w:rPr>
          <w:rFonts w:hint="eastAsia" w:ascii="楷体" w:hAnsi="楷体" w:eastAsia="楷体" w:cs="Times New Roman"/>
          <w:bCs/>
          <w:szCs w:val="32"/>
        </w:rPr>
        <w:t xml:space="preserve">(三) </w:t>
      </w:r>
      <w:r>
        <w:rPr>
          <w:rFonts w:hint="eastAsia" w:ascii="楷体" w:hAnsi="楷体" w:eastAsia="楷体"/>
          <w:bCs/>
          <w:szCs w:val="32"/>
        </w:rPr>
        <w:t>积极培育生产性服务业</w:t>
      </w:r>
      <w:r>
        <w:tab/>
      </w:r>
      <w:r>
        <w:fldChar w:fldCharType="begin"/>
      </w:r>
      <w:r>
        <w:instrText xml:space="preserve"> PAGEREF _Toc18920 </w:instrText>
      </w:r>
      <w:r>
        <w:fldChar w:fldCharType="separate"/>
      </w:r>
      <w:r>
        <w:t>14</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_Toc399 </w:instrText>
      </w:r>
      <w:r>
        <w:rPr>
          <w:szCs w:val="32"/>
        </w:rPr>
        <w:fldChar w:fldCharType="separate"/>
      </w:r>
      <w:r>
        <w:rPr>
          <w:rFonts w:hint="eastAsia" w:ascii="仿宋" w:hAnsi="仿宋" w:eastAsia="仿宋" w:cs="Times New Roman"/>
          <w:szCs w:val="32"/>
        </w:rPr>
        <w:t xml:space="preserve">1. </w:t>
      </w:r>
      <w:r>
        <w:rPr>
          <w:rFonts w:hint="eastAsia" w:ascii="仿宋" w:hAnsi="仿宋" w:eastAsia="仿宋"/>
          <w:bCs/>
          <w:szCs w:val="32"/>
        </w:rPr>
        <w:t>工业设计服务</w:t>
      </w:r>
      <w:r>
        <w:tab/>
      </w:r>
      <w:r>
        <w:fldChar w:fldCharType="begin"/>
      </w:r>
      <w:r>
        <w:instrText xml:space="preserve"> PAGEREF _Toc399 </w:instrText>
      </w:r>
      <w:r>
        <w:fldChar w:fldCharType="separate"/>
      </w:r>
      <w:r>
        <w:t>15</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_Toc25265 </w:instrText>
      </w:r>
      <w:r>
        <w:rPr>
          <w:szCs w:val="32"/>
        </w:rPr>
        <w:fldChar w:fldCharType="separate"/>
      </w:r>
      <w:r>
        <w:rPr>
          <w:rFonts w:hint="eastAsia" w:ascii="仿宋" w:hAnsi="仿宋" w:eastAsia="仿宋" w:cs="Times New Roman"/>
          <w:szCs w:val="32"/>
        </w:rPr>
        <w:t xml:space="preserve">2. </w:t>
      </w:r>
      <w:r>
        <w:rPr>
          <w:rFonts w:hint="eastAsia" w:ascii="仿宋" w:hAnsi="仿宋" w:eastAsia="仿宋"/>
          <w:bCs/>
          <w:szCs w:val="32"/>
        </w:rPr>
        <w:t>电商物流服务</w:t>
      </w:r>
      <w:r>
        <w:tab/>
      </w:r>
      <w:r>
        <w:fldChar w:fldCharType="begin"/>
      </w:r>
      <w:r>
        <w:instrText xml:space="preserve"> PAGEREF _Toc25265 </w:instrText>
      </w:r>
      <w:r>
        <w:fldChar w:fldCharType="separate"/>
      </w:r>
      <w:r>
        <w:t>15</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_Toc14458 </w:instrText>
      </w:r>
      <w:r>
        <w:rPr>
          <w:szCs w:val="32"/>
        </w:rPr>
        <w:fldChar w:fldCharType="separate"/>
      </w:r>
      <w:r>
        <w:rPr>
          <w:rFonts w:hint="eastAsia" w:ascii="仿宋" w:hAnsi="仿宋" w:eastAsia="仿宋" w:cs="Times New Roman"/>
          <w:szCs w:val="32"/>
        </w:rPr>
        <w:t xml:space="preserve">3. </w:t>
      </w:r>
      <w:r>
        <w:rPr>
          <w:rFonts w:hint="eastAsia" w:ascii="仿宋" w:hAnsi="仿宋" w:eastAsia="仿宋"/>
          <w:bCs/>
          <w:szCs w:val="32"/>
        </w:rPr>
        <w:t>科技创新服务</w:t>
      </w:r>
      <w:r>
        <w:tab/>
      </w:r>
      <w:r>
        <w:fldChar w:fldCharType="begin"/>
      </w:r>
      <w:r>
        <w:instrText xml:space="preserve"> PAGEREF _Toc14458 </w:instrText>
      </w:r>
      <w:r>
        <w:fldChar w:fldCharType="separate"/>
      </w:r>
      <w:r>
        <w:t>15</w:t>
      </w:r>
      <w:r>
        <w:fldChar w:fldCharType="end"/>
      </w:r>
      <w:r>
        <w:rPr>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_Toc22339 </w:instrText>
      </w:r>
      <w:r>
        <w:rPr>
          <w:szCs w:val="32"/>
        </w:rPr>
        <w:fldChar w:fldCharType="separate"/>
      </w:r>
      <w:r>
        <w:rPr>
          <w:rFonts w:hint="eastAsia" w:ascii="仿宋" w:hAnsi="仿宋" w:eastAsia="仿宋" w:cs="Times New Roman"/>
          <w:szCs w:val="32"/>
        </w:rPr>
        <w:t xml:space="preserve">4. </w:t>
      </w:r>
      <w:r>
        <w:rPr>
          <w:rFonts w:hint="eastAsia" w:ascii="仿宋" w:hAnsi="仿宋" w:eastAsia="仿宋"/>
          <w:bCs/>
          <w:szCs w:val="32"/>
        </w:rPr>
        <w:t>节能环保服务</w:t>
      </w:r>
      <w:r>
        <w:tab/>
      </w:r>
      <w:r>
        <w:fldChar w:fldCharType="begin"/>
      </w:r>
      <w:r>
        <w:instrText xml:space="preserve"> PAGEREF _Toc22339 </w:instrText>
      </w:r>
      <w:r>
        <w:fldChar w:fldCharType="separate"/>
      </w:r>
      <w:r>
        <w:t>16</w:t>
      </w:r>
      <w:r>
        <w:fldChar w:fldCharType="end"/>
      </w:r>
      <w:r>
        <w:rPr>
          <w:szCs w:val="32"/>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_Toc14191 </w:instrText>
      </w:r>
      <w:r>
        <w:rPr>
          <w:szCs w:val="32"/>
        </w:rPr>
        <w:fldChar w:fldCharType="separate"/>
      </w:r>
      <w:r>
        <w:rPr>
          <w:rFonts w:hint="eastAsia" w:ascii="黑体" w:hAnsi="黑体" w:eastAsia="黑体" w:cs="Times New Roman"/>
          <w:szCs w:val="32"/>
        </w:rPr>
        <w:t xml:space="preserve">五、 </w:t>
      </w:r>
      <w:r>
        <w:rPr>
          <w:rFonts w:hint="eastAsia" w:ascii="黑体" w:hAnsi="黑体" w:eastAsia="黑体"/>
          <w:szCs w:val="32"/>
        </w:rPr>
        <w:t>发展布局</w:t>
      </w:r>
      <w:r>
        <w:tab/>
      </w:r>
      <w:r>
        <w:fldChar w:fldCharType="begin"/>
      </w:r>
      <w:r>
        <w:instrText xml:space="preserve"> PAGEREF _Toc14191 </w:instrText>
      </w:r>
      <w:r>
        <w:fldChar w:fldCharType="separate"/>
      </w:r>
      <w:r>
        <w:t>17</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_Toc19074 </w:instrText>
      </w:r>
      <w:r>
        <w:rPr>
          <w:szCs w:val="32"/>
        </w:rPr>
        <w:fldChar w:fldCharType="separate"/>
      </w:r>
      <w:r>
        <w:rPr>
          <w:rFonts w:hint="eastAsia" w:ascii="楷体" w:hAnsi="楷体" w:eastAsia="楷体" w:cs="Times New Roman"/>
          <w:bCs/>
          <w:szCs w:val="32"/>
        </w:rPr>
        <w:t xml:space="preserve">(一) </w:t>
      </w:r>
      <w:r>
        <w:rPr>
          <w:rFonts w:hint="eastAsia" w:ascii="楷体" w:hAnsi="楷体" w:eastAsia="楷体"/>
          <w:szCs w:val="32"/>
        </w:rPr>
        <w:t>两大发展</w:t>
      </w:r>
      <w:r>
        <w:rPr>
          <w:rFonts w:ascii="楷体" w:hAnsi="楷体" w:eastAsia="楷体"/>
          <w:szCs w:val="32"/>
        </w:rPr>
        <w:t>主</w:t>
      </w:r>
      <w:r>
        <w:rPr>
          <w:rFonts w:hint="eastAsia" w:ascii="楷体" w:hAnsi="楷体" w:eastAsia="楷体"/>
          <w:szCs w:val="32"/>
        </w:rPr>
        <w:t>轴</w:t>
      </w:r>
      <w:r>
        <w:tab/>
      </w:r>
      <w:r>
        <w:fldChar w:fldCharType="begin"/>
      </w:r>
      <w:r>
        <w:instrText xml:space="preserve"> PAGEREF _Toc19074 </w:instrText>
      </w:r>
      <w:r>
        <w:fldChar w:fldCharType="separate"/>
      </w:r>
      <w:r>
        <w:t>18</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_Toc31478 </w:instrText>
      </w:r>
      <w:r>
        <w:rPr>
          <w:szCs w:val="32"/>
        </w:rPr>
        <w:fldChar w:fldCharType="separate"/>
      </w:r>
      <w:r>
        <w:rPr>
          <w:rFonts w:hint="eastAsia" w:ascii="楷体" w:hAnsi="楷体" w:eastAsia="楷体" w:cs="Times New Roman"/>
          <w:bCs/>
          <w:szCs w:val="32"/>
        </w:rPr>
        <w:t xml:space="preserve">(二) </w:t>
      </w:r>
      <w:r>
        <w:rPr>
          <w:rFonts w:hint="eastAsia" w:ascii="楷体" w:hAnsi="楷体" w:eastAsia="楷体"/>
          <w:szCs w:val="32"/>
        </w:rPr>
        <w:t>四大产业片区</w:t>
      </w:r>
      <w:r>
        <w:tab/>
      </w:r>
      <w:r>
        <w:fldChar w:fldCharType="begin"/>
      </w:r>
      <w:r>
        <w:instrText xml:space="preserve"> PAGEREF _Toc31478 </w:instrText>
      </w:r>
      <w:r>
        <w:fldChar w:fldCharType="separate"/>
      </w:r>
      <w:r>
        <w:t>18</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_Toc24386 </w:instrText>
      </w:r>
      <w:r>
        <w:rPr>
          <w:szCs w:val="32"/>
        </w:rPr>
        <w:fldChar w:fldCharType="separate"/>
      </w:r>
      <w:r>
        <w:rPr>
          <w:rFonts w:hint="eastAsia" w:ascii="楷体" w:hAnsi="楷体" w:eastAsia="楷体" w:cs="Times New Roman"/>
          <w:bCs/>
          <w:szCs w:val="32"/>
        </w:rPr>
        <w:t xml:space="preserve">(三) </w:t>
      </w:r>
      <w:r>
        <w:rPr>
          <w:rFonts w:hint="eastAsia" w:ascii="楷体" w:hAnsi="楷体" w:eastAsia="楷体"/>
          <w:szCs w:val="32"/>
        </w:rPr>
        <w:t>七大</w:t>
      </w:r>
      <w:r>
        <w:rPr>
          <w:rFonts w:ascii="楷体" w:hAnsi="楷体" w:eastAsia="楷体"/>
          <w:szCs w:val="32"/>
        </w:rPr>
        <w:t>工</w:t>
      </w:r>
      <w:r>
        <w:rPr>
          <w:rFonts w:hint="eastAsia" w:ascii="楷体" w:hAnsi="楷体" w:eastAsia="楷体"/>
          <w:szCs w:val="32"/>
        </w:rPr>
        <w:t>业园区</w:t>
      </w:r>
      <w:r>
        <w:tab/>
      </w:r>
      <w:r>
        <w:fldChar w:fldCharType="begin"/>
      </w:r>
      <w:r>
        <w:instrText xml:space="preserve"> PAGEREF _Toc24386 </w:instrText>
      </w:r>
      <w:r>
        <w:fldChar w:fldCharType="separate"/>
      </w:r>
      <w:r>
        <w:t>19</w:t>
      </w:r>
      <w:r>
        <w:fldChar w:fldCharType="end"/>
      </w:r>
      <w:r>
        <w:rPr>
          <w:szCs w:val="32"/>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_Toc31059 </w:instrText>
      </w:r>
      <w:r>
        <w:rPr>
          <w:szCs w:val="32"/>
        </w:rPr>
        <w:fldChar w:fldCharType="separate"/>
      </w:r>
      <w:r>
        <w:rPr>
          <w:rFonts w:hint="eastAsia" w:ascii="黑体" w:hAnsi="黑体" w:eastAsia="黑体" w:cs="Times New Roman"/>
          <w:szCs w:val="32"/>
        </w:rPr>
        <w:t xml:space="preserve">六、 </w:t>
      </w:r>
      <w:r>
        <w:rPr>
          <w:rFonts w:hint="eastAsia" w:ascii="黑体" w:hAnsi="黑体" w:eastAsia="黑体"/>
          <w:szCs w:val="32"/>
        </w:rPr>
        <w:t>主要任务</w:t>
      </w:r>
      <w:r>
        <w:tab/>
      </w:r>
      <w:r>
        <w:fldChar w:fldCharType="begin"/>
      </w:r>
      <w:r>
        <w:instrText xml:space="preserve"> PAGEREF _Toc31059 </w:instrText>
      </w:r>
      <w:r>
        <w:fldChar w:fldCharType="separate"/>
      </w:r>
      <w:r>
        <w:t>20</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_Toc7795 </w:instrText>
      </w:r>
      <w:r>
        <w:rPr>
          <w:szCs w:val="32"/>
        </w:rPr>
        <w:fldChar w:fldCharType="separate"/>
      </w:r>
      <w:r>
        <w:rPr>
          <w:rFonts w:hint="eastAsia" w:ascii="楷体" w:hAnsi="楷体" w:eastAsia="楷体" w:cs="Times New Roman"/>
          <w:bCs/>
          <w:szCs w:val="32"/>
        </w:rPr>
        <w:t xml:space="preserve">(一) </w:t>
      </w:r>
      <w:r>
        <w:rPr>
          <w:rFonts w:ascii="楷体" w:hAnsi="楷体" w:eastAsia="楷体"/>
          <w:szCs w:val="32"/>
        </w:rPr>
        <w:t>培育支柱产业，推进产业融合</w:t>
      </w:r>
      <w:r>
        <w:tab/>
      </w:r>
      <w:r>
        <w:fldChar w:fldCharType="begin"/>
      </w:r>
      <w:r>
        <w:instrText xml:space="preserve"> PAGEREF _Toc7795 </w:instrText>
      </w:r>
      <w:r>
        <w:fldChar w:fldCharType="separate"/>
      </w:r>
      <w:r>
        <w:t>20</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_Toc15498 </w:instrText>
      </w:r>
      <w:r>
        <w:rPr>
          <w:szCs w:val="32"/>
        </w:rPr>
        <w:fldChar w:fldCharType="separate"/>
      </w:r>
      <w:r>
        <w:rPr>
          <w:rFonts w:hint="eastAsia" w:ascii="楷体" w:hAnsi="楷体" w:eastAsia="楷体" w:cs="Times New Roman"/>
          <w:bCs/>
          <w:szCs w:val="32"/>
        </w:rPr>
        <w:t xml:space="preserve">(二) </w:t>
      </w:r>
      <w:r>
        <w:rPr>
          <w:rFonts w:hint="eastAsia" w:ascii="楷体" w:hAnsi="楷体" w:eastAsia="楷体"/>
          <w:szCs w:val="32"/>
        </w:rPr>
        <w:t>强化创新引领，保障发展质量</w:t>
      </w:r>
      <w:r>
        <w:tab/>
      </w:r>
      <w:r>
        <w:fldChar w:fldCharType="begin"/>
      </w:r>
      <w:r>
        <w:instrText xml:space="preserve"> PAGEREF _Toc15498 </w:instrText>
      </w:r>
      <w:r>
        <w:fldChar w:fldCharType="separate"/>
      </w:r>
      <w:r>
        <w:t>21</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_Toc17296 </w:instrText>
      </w:r>
      <w:r>
        <w:rPr>
          <w:szCs w:val="32"/>
        </w:rPr>
        <w:fldChar w:fldCharType="separate"/>
      </w:r>
      <w:r>
        <w:rPr>
          <w:rFonts w:hint="eastAsia" w:ascii="楷体" w:hAnsi="楷体" w:eastAsia="楷体" w:cs="Times New Roman"/>
          <w:bCs/>
          <w:szCs w:val="32"/>
        </w:rPr>
        <w:t xml:space="preserve">(三) </w:t>
      </w:r>
      <w:r>
        <w:rPr>
          <w:rFonts w:hint="eastAsia" w:ascii="楷体" w:hAnsi="楷体" w:eastAsia="楷体"/>
          <w:szCs w:val="32"/>
        </w:rPr>
        <w:t>实施智能制造，促进结构优化</w:t>
      </w:r>
      <w:r>
        <w:tab/>
      </w:r>
      <w:r>
        <w:fldChar w:fldCharType="begin"/>
      </w:r>
      <w:r>
        <w:instrText xml:space="preserve"> PAGEREF _Toc17296 </w:instrText>
      </w:r>
      <w:r>
        <w:fldChar w:fldCharType="separate"/>
      </w:r>
      <w:r>
        <w:t>22</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_Toc11660 </w:instrText>
      </w:r>
      <w:r>
        <w:rPr>
          <w:szCs w:val="32"/>
        </w:rPr>
        <w:fldChar w:fldCharType="separate"/>
      </w:r>
      <w:r>
        <w:rPr>
          <w:rFonts w:hint="eastAsia" w:ascii="楷体" w:hAnsi="楷体" w:eastAsia="楷体" w:cs="Times New Roman"/>
          <w:bCs/>
          <w:szCs w:val="32"/>
        </w:rPr>
        <w:t xml:space="preserve">(四) </w:t>
      </w:r>
      <w:r>
        <w:rPr>
          <w:rFonts w:hint="eastAsia" w:ascii="楷体" w:hAnsi="楷体" w:eastAsia="楷体"/>
          <w:szCs w:val="32"/>
        </w:rPr>
        <w:t>坚持绿色制造，兼顾生态效益</w:t>
      </w:r>
      <w:r>
        <w:tab/>
      </w:r>
      <w:r>
        <w:fldChar w:fldCharType="begin"/>
      </w:r>
      <w:r>
        <w:instrText xml:space="preserve"> PAGEREF _Toc11660 </w:instrText>
      </w:r>
      <w:r>
        <w:fldChar w:fldCharType="separate"/>
      </w:r>
      <w:r>
        <w:t>23</w:t>
      </w:r>
      <w:r>
        <w:fldChar w:fldCharType="end"/>
      </w:r>
      <w:r>
        <w:rPr>
          <w:szCs w:val="32"/>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_Toc18852 </w:instrText>
      </w:r>
      <w:r>
        <w:rPr>
          <w:szCs w:val="32"/>
        </w:rPr>
        <w:fldChar w:fldCharType="separate"/>
      </w:r>
      <w:r>
        <w:rPr>
          <w:rFonts w:hint="eastAsia" w:ascii="黑体" w:hAnsi="黑体" w:eastAsia="黑体" w:cs="Times New Roman"/>
          <w:szCs w:val="32"/>
        </w:rPr>
        <w:t xml:space="preserve">七、 </w:t>
      </w:r>
      <w:r>
        <w:rPr>
          <w:rFonts w:hint="eastAsia" w:ascii="黑体" w:hAnsi="黑体" w:eastAsia="黑体"/>
          <w:szCs w:val="32"/>
        </w:rPr>
        <w:t>保障措施</w:t>
      </w:r>
      <w:r>
        <w:tab/>
      </w:r>
      <w:r>
        <w:fldChar w:fldCharType="begin"/>
      </w:r>
      <w:r>
        <w:instrText xml:space="preserve"> PAGEREF _Toc18852 </w:instrText>
      </w:r>
      <w:r>
        <w:fldChar w:fldCharType="separate"/>
      </w:r>
      <w:r>
        <w:t>24</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_Toc8616 </w:instrText>
      </w:r>
      <w:r>
        <w:rPr>
          <w:szCs w:val="32"/>
        </w:rPr>
        <w:fldChar w:fldCharType="separate"/>
      </w:r>
      <w:r>
        <w:rPr>
          <w:rFonts w:hint="eastAsia" w:ascii="楷体" w:hAnsi="楷体" w:eastAsia="楷体" w:cs="Times New Roman"/>
          <w:bCs/>
          <w:strike w:val="0"/>
          <w:szCs w:val="32"/>
        </w:rPr>
        <w:t xml:space="preserve">(一) </w:t>
      </w:r>
      <w:r>
        <w:rPr>
          <w:rFonts w:hint="eastAsia" w:ascii="楷体" w:hAnsi="楷体" w:eastAsia="楷体"/>
          <w:bCs/>
          <w:szCs w:val="32"/>
        </w:rPr>
        <w:t>体制机制改革</w:t>
      </w:r>
      <w:r>
        <w:tab/>
      </w:r>
      <w:r>
        <w:fldChar w:fldCharType="begin"/>
      </w:r>
      <w:r>
        <w:instrText xml:space="preserve"> PAGEREF _Toc8616 </w:instrText>
      </w:r>
      <w:r>
        <w:fldChar w:fldCharType="separate"/>
      </w:r>
      <w:r>
        <w:t>24</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_Toc9573 </w:instrText>
      </w:r>
      <w:r>
        <w:rPr>
          <w:szCs w:val="32"/>
        </w:rPr>
        <w:fldChar w:fldCharType="separate"/>
      </w:r>
      <w:r>
        <w:rPr>
          <w:rFonts w:hint="eastAsia" w:ascii="楷体" w:hAnsi="楷体" w:eastAsia="楷体" w:cs="Times New Roman"/>
          <w:bCs/>
          <w:strike w:val="0"/>
          <w:szCs w:val="32"/>
        </w:rPr>
        <w:t xml:space="preserve">(二) </w:t>
      </w:r>
      <w:r>
        <w:rPr>
          <w:rFonts w:hint="eastAsia" w:ascii="楷体" w:hAnsi="楷体" w:eastAsia="楷体"/>
          <w:bCs/>
          <w:szCs w:val="32"/>
        </w:rPr>
        <w:t>财政金融扶持</w:t>
      </w:r>
      <w:r>
        <w:tab/>
      </w:r>
      <w:r>
        <w:fldChar w:fldCharType="begin"/>
      </w:r>
      <w:r>
        <w:instrText xml:space="preserve"> PAGEREF _Toc9573 </w:instrText>
      </w:r>
      <w:r>
        <w:fldChar w:fldCharType="separate"/>
      </w:r>
      <w:r>
        <w:t>25</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_Toc1214 </w:instrText>
      </w:r>
      <w:r>
        <w:rPr>
          <w:szCs w:val="32"/>
        </w:rPr>
        <w:fldChar w:fldCharType="separate"/>
      </w:r>
      <w:r>
        <w:rPr>
          <w:rFonts w:hint="eastAsia" w:ascii="楷体" w:hAnsi="楷体" w:eastAsia="楷体" w:cs="Times New Roman"/>
          <w:bCs/>
          <w:strike w:val="0"/>
          <w:szCs w:val="32"/>
        </w:rPr>
        <w:t xml:space="preserve">(三) </w:t>
      </w:r>
      <w:r>
        <w:rPr>
          <w:rFonts w:hint="eastAsia" w:ascii="楷体" w:hAnsi="楷体" w:eastAsia="楷体"/>
          <w:bCs/>
          <w:szCs w:val="32"/>
        </w:rPr>
        <w:t>强化考核激励</w:t>
      </w:r>
      <w:r>
        <w:tab/>
      </w:r>
      <w:r>
        <w:fldChar w:fldCharType="begin"/>
      </w:r>
      <w:r>
        <w:instrText xml:space="preserve"> PAGEREF _Toc1214 </w:instrText>
      </w:r>
      <w:r>
        <w:fldChar w:fldCharType="separate"/>
      </w:r>
      <w:r>
        <w:t>25</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_Toc15668 </w:instrText>
      </w:r>
      <w:r>
        <w:rPr>
          <w:szCs w:val="32"/>
        </w:rPr>
        <w:fldChar w:fldCharType="separate"/>
      </w:r>
      <w:r>
        <w:rPr>
          <w:rFonts w:hint="eastAsia" w:ascii="楷体" w:hAnsi="楷体" w:eastAsia="楷体" w:cs="Times New Roman"/>
          <w:bCs/>
          <w:strike w:val="0"/>
          <w:szCs w:val="32"/>
        </w:rPr>
        <w:t xml:space="preserve">(四) </w:t>
      </w:r>
      <w:r>
        <w:rPr>
          <w:rFonts w:hint="eastAsia" w:ascii="楷体" w:hAnsi="楷体" w:eastAsia="楷体"/>
          <w:bCs/>
          <w:szCs w:val="32"/>
        </w:rPr>
        <w:t>完善基础设施</w:t>
      </w:r>
      <w:r>
        <w:tab/>
      </w:r>
      <w:r>
        <w:fldChar w:fldCharType="begin"/>
      </w:r>
      <w:r>
        <w:instrText xml:space="preserve"> PAGEREF _Toc15668 </w:instrText>
      </w:r>
      <w:r>
        <w:fldChar w:fldCharType="separate"/>
      </w:r>
      <w:r>
        <w:t>26</w:t>
      </w:r>
      <w:r>
        <w:fldChar w:fldCharType="end"/>
      </w:r>
      <w:r>
        <w:rPr>
          <w:szCs w:val="32"/>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_Toc3522 </w:instrText>
      </w:r>
      <w:r>
        <w:rPr>
          <w:szCs w:val="32"/>
        </w:rPr>
        <w:fldChar w:fldCharType="separate"/>
      </w:r>
      <w:r>
        <w:rPr>
          <w:rFonts w:hint="eastAsia" w:ascii="楷体" w:hAnsi="楷体" w:eastAsia="楷体" w:cs="Times New Roman"/>
          <w:bCs/>
          <w:strike w:val="0"/>
          <w:szCs w:val="32"/>
        </w:rPr>
        <w:t xml:space="preserve">(五) </w:t>
      </w:r>
      <w:r>
        <w:rPr>
          <w:rFonts w:hint="eastAsia" w:ascii="楷体" w:hAnsi="楷体" w:eastAsia="楷体"/>
          <w:bCs/>
          <w:szCs w:val="32"/>
        </w:rPr>
        <w:t>落实发展规划</w:t>
      </w:r>
      <w:r>
        <w:tab/>
      </w:r>
      <w:r>
        <w:fldChar w:fldCharType="begin"/>
      </w:r>
      <w:r>
        <w:instrText xml:space="preserve"> PAGEREF _Toc3522 </w:instrText>
      </w:r>
      <w:r>
        <w:fldChar w:fldCharType="separate"/>
      </w:r>
      <w:r>
        <w:t>26</w:t>
      </w:r>
      <w:r>
        <w:fldChar w:fldCharType="end"/>
      </w:r>
      <w:r>
        <w:rPr>
          <w:szCs w:val="32"/>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pPr>
      <w:r>
        <w:rPr>
          <w:szCs w:val="32"/>
        </w:rPr>
        <w:fldChar w:fldCharType="begin"/>
      </w:r>
      <w:r>
        <w:rPr>
          <w:szCs w:val="32"/>
        </w:rPr>
        <w:instrText xml:space="preserve"> HYPERLINK \l _Toc30205 </w:instrText>
      </w:r>
      <w:r>
        <w:rPr>
          <w:szCs w:val="32"/>
        </w:rPr>
        <w:fldChar w:fldCharType="separate"/>
      </w:r>
      <w:r>
        <w:rPr>
          <w:rFonts w:hint="eastAsia" w:ascii="黑体" w:hAnsi="黑体" w:eastAsia="黑体"/>
          <w:szCs w:val="32"/>
          <w:lang w:val="en-US" w:eastAsia="zh-CN"/>
        </w:rPr>
        <w:t>附件</w:t>
      </w:r>
      <w:r>
        <w:tab/>
      </w:r>
      <w:r>
        <w:fldChar w:fldCharType="begin"/>
      </w:r>
      <w:r>
        <w:instrText xml:space="preserve"> PAGEREF _Toc30205 </w:instrText>
      </w:r>
      <w:r>
        <w:fldChar w:fldCharType="separate"/>
      </w:r>
      <w:r>
        <w:t>27</w:t>
      </w:r>
      <w:r>
        <w:fldChar w:fldCharType="end"/>
      </w:r>
      <w:r>
        <w:rPr>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szCs w:val="24"/>
        </w:rPr>
        <w:sectPr>
          <w:pgSz w:w="11906" w:h="16838"/>
          <w:pgMar w:top="2041" w:right="1474" w:bottom="1134" w:left="1587" w:header="851" w:footer="1474" w:gutter="0"/>
          <w:cols w:space="425" w:num="1"/>
          <w:docGrid w:type="lines" w:linePitch="312" w:charSpace="0"/>
        </w:sectPr>
      </w:pPr>
      <w:r>
        <w:rPr>
          <w:szCs w:val="32"/>
        </w:rPr>
        <w:fldChar w:fldCharType="end"/>
      </w:r>
    </w:p>
    <w:p>
      <w:pPr>
        <w:pStyle w:val="30"/>
        <w:numPr>
          <w:ilvl w:val="0"/>
          <w:numId w:val="1"/>
        </w:numPr>
        <w:ind w:firstLineChars="0"/>
        <w:outlineLvl w:val="0"/>
        <w:rPr>
          <w:rFonts w:ascii="黑体" w:hAnsi="黑体" w:eastAsia="黑体"/>
          <w:sz w:val="32"/>
          <w:szCs w:val="32"/>
        </w:rPr>
      </w:pPr>
      <w:bookmarkStart w:id="2" w:name="_Toc19595"/>
      <w:r>
        <w:rPr>
          <w:rFonts w:hint="eastAsia" w:ascii="黑体" w:hAnsi="黑体" w:eastAsia="黑体"/>
          <w:sz w:val="32"/>
          <w:szCs w:val="32"/>
        </w:rPr>
        <w:t>发展条件</w:t>
      </w:r>
      <w:bookmarkEnd w:id="2"/>
    </w:p>
    <w:p>
      <w:pPr>
        <w:pStyle w:val="30"/>
        <w:numPr>
          <w:ilvl w:val="0"/>
          <w:numId w:val="2"/>
        </w:numPr>
        <w:spacing w:before="156" w:beforeLines="50" w:after="156" w:afterLines="50"/>
        <w:ind w:firstLineChars="0"/>
        <w:outlineLvl w:val="1"/>
        <w:rPr>
          <w:rFonts w:ascii="黑体" w:hAnsi="黑体" w:eastAsia="黑体"/>
          <w:sz w:val="32"/>
          <w:szCs w:val="32"/>
        </w:rPr>
      </w:pPr>
      <w:bookmarkStart w:id="3" w:name="_Toc26364"/>
      <w:bookmarkStart w:id="4" w:name="_Toc43806269"/>
      <w:r>
        <w:rPr>
          <w:rFonts w:hint="eastAsia" w:ascii="楷体" w:hAnsi="楷体" w:eastAsia="楷体"/>
          <w:b/>
          <w:bCs/>
          <w:sz w:val="32"/>
          <w:szCs w:val="32"/>
        </w:rPr>
        <w:t>发展基础</w:t>
      </w:r>
      <w:bookmarkEnd w:id="3"/>
      <w:bookmarkEnd w:id="4"/>
    </w:p>
    <w:p>
      <w:pPr>
        <w:bidi w:val="0"/>
        <w:rPr>
          <w:rFonts w:hint="eastAsia"/>
        </w:rPr>
      </w:pPr>
      <w:r>
        <w:rPr>
          <w:rFonts w:hint="eastAsia"/>
        </w:rPr>
        <w:t>“十三五”期间，新丰县加快建设韶关融入珠三角先行区，坚持培育新兴产业、淘汰落后产能，深入实施“融入珠三角、服务大湾区”战略部署，依托生态优势、资源优势和区位优势，全面深化推进工业转型升级，全县工业经济的总量规模不断壮大，质量效益不断提升，工业高质量发展的基础初步形成。</w:t>
      </w:r>
    </w:p>
    <w:p>
      <w:pPr>
        <w:bidi w:val="0"/>
      </w:pPr>
      <w:r>
        <w:rPr>
          <w:rFonts w:hint="eastAsia"/>
          <w:b/>
          <w:bCs/>
        </w:rPr>
        <w:t>工业总量平稳增长。</w:t>
      </w:r>
      <w:r>
        <w:rPr>
          <w:rFonts w:hint="eastAsia"/>
        </w:rPr>
        <w:t>“十三五”以来，新丰县深入贯彻落实上级要求，积极应对宏观形势的深刻变化，工业经济总体保持平稳增长态势。</w:t>
      </w:r>
      <w:r>
        <w:rPr>
          <w:rFonts w:hint="default"/>
        </w:rPr>
        <w:t>2019</w:t>
      </w:r>
      <w:r>
        <w:rPr>
          <w:rFonts w:hint="eastAsia"/>
        </w:rPr>
        <w:t>年，全县实现工业增加值</w:t>
      </w:r>
      <w:r>
        <w:t>14.94</w:t>
      </w:r>
      <w:r>
        <w:rPr>
          <w:rFonts w:hint="eastAsia"/>
        </w:rPr>
        <w:t>亿元，同比增长</w:t>
      </w:r>
      <w:r>
        <w:t>11.6</w:t>
      </w:r>
      <w:r>
        <w:rPr>
          <w:rFonts w:hint="eastAsia"/>
        </w:rPr>
        <w:t>%，工业增加值占全县</w:t>
      </w:r>
      <w:r>
        <w:t>GDP</w:t>
      </w:r>
      <w:r>
        <w:rPr>
          <w:rFonts w:hint="eastAsia"/>
        </w:rPr>
        <w:t>的</w:t>
      </w:r>
      <w:r>
        <w:t>21.6</w:t>
      </w:r>
      <w:r>
        <w:rPr>
          <w:rFonts w:hint="eastAsia"/>
        </w:rPr>
        <w:t>6%；规模以上工业企业32家，完成总产值</w:t>
      </w:r>
      <w:r>
        <w:t>44.5</w:t>
      </w:r>
      <w:r>
        <w:rPr>
          <w:rFonts w:hint="eastAsia"/>
        </w:rPr>
        <w:t>亿元，同比增长</w:t>
      </w:r>
      <w:r>
        <w:t>14.9%</w:t>
      </w:r>
      <w:r>
        <w:rPr>
          <w:rFonts w:hint="eastAsia"/>
        </w:rPr>
        <w:t>；实现增加值12.18亿元，同比增长12%。</w:t>
      </w:r>
    </w:p>
    <w:p>
      <w:pPr>
        <w:bidi w:val="0"/>
      </w:pPr>
      <w:r>
        <w:rPr>
          <w:rFonts w:hint="eastAsia"/>
          <w:b/>
          <w:bCs/>
        </w:rPr>
        <w:t>工业结构逐步优化。</w:t>
      </w:r>
      <w:r>
        <w:rPr>
          <w:rFonts w:hint="eastAsia"/>
        </w:rPr>
        <w:t>“十三五”以来，战略性新兴产业、先进装备制造业显著增长。</w:t>
      </w:r>
      <w:r>
        <w:t>2019</w:t>
      </w:r>
      <w:r>
        <w:rPr>
          <w:rFonts w:hint="eastAsia"/>
        </w:rPr>
        <w:t>年，先进装备制造、新材料、新能源等战略性新兴产业实现规上总产值6.8亿元，占规上工业总产值的15.3%。基本形成以新型建材、新能源、新材料、新一代信息技术等战略性新兴产业为基础的现代工业发展体系。</w:t>
      </w:r>
    </w:p>
    <w:p>
      <w:pPr>
        <w:bidi w:val="0"/>
      </w:pPr>
      <w:r>
        <w:rPr>
          <w:rFonts w:hint="eastAsia"/>
          <w:b/>
          <w:bCs/>
        </w:rPr>
        <w:t>创新能力不断加强。</w:t>
      </w:r>
      <w:r>
        <w:rPr>
          <w:rFonts w:hint="eastAsia"/>
        </w:rPr>
        <w:t>“十三五”以来，新丰县大力实施创新驱动发展战略，区域创新要素不断集聚，企业创新能力持续提升。截止</w:t>
      </w:r>
      <w:r>
        <w:t>2019</w:t>
      </w:r>
      <w:r>
        <w:rPr>
          <w:rFonts w:hint="eastAsia"/>
        </w:rPr>
        <w:t>年，研发(R&amp;D)经费投入7500万元，较2015年R</w:t>
      </w:r>
      <w:r>
        <w:t>&amp;D</w:t>
      </w:r>
      <w:r>
        <w:rPr>
          <w:rFonts w:hint="eastAsia"/>
        </w:rPr>
        <w:t>经费投入的3900万元增长92%，年均增幅18%；R</w:t>
      </w:r>
      <w:r>
        <w:t>&amp;D</w:t>
      </w:r>
      <w:r>
        <w:rPr>
          <w:rFonts w:hint="eastAsia"/>
        </w:rPr>
        <w:t>投入占地区生产总值比重为1.0%</w:t>
      </w:r>
      <w:r>
        <w:rPr>
          <w:rFonts w:hint="eastAsia"/>
          <w:lang w:eastAsia="zh-CN"/>
        </w:rPr>
        <w:t>；</w:t>
      </w:r>
      <w:r>
        <w:rPr>
          <w:rFonts w:hint="eastAsia"/>
        </w:rPr>
        <w:t>研发人员数为170人，较2015年的121人增长40%，年均增幅8.9%；拥有国家高新技术企业</w:t>
      </w:r>
      <w:r>
        <w:t>8</w:t>
      </w:r>
      <w:r>
        <w:rPr>
          <w:rFonts w:hint="eastAsia"/>
        </w:rPr>
        <w:t>家，工程技术研究开发中心</w:t>
      </w:r>
      <w:r>
        <w:t>11</w:t>
      </w:r>
      <w:r>
        <w:rPr>
          <w:rFonts w:hint="eastAsia"/>
        </w:rPr>
        <w:t>家</w:t>
      </w:r>
      <w:r>
        <w:rPr>
          <w:rFonts w:hint="eastAsia"/>
          <w:lang w:eastAsia="zh-CN"/>
        </w:rPr>
        <w:t>；</w:t>
      </w:r>
      <w:r>
        <w:rPr>
          <w:rFonts w:hint="eastAsia"/>
        </w:rPr>
        <w:t>科技型创新性人才246人，工业经济发展逐步由要素驱动转型为创新驱动。</w:t>
      </w:r>
    </w:p>
    <w:p>
      <w:pPr>
        <w:bidi w:val="0"/>
      </w:pPr>
      <w:r>
        <w:rPr>
          <w:rFonts w:hint="eastAsia"/>
          <w:b/>
          <w:bCs/>
        </w:rPr>
        <w:t>园区升级效果显著。</w:t>
      </w:r>
      <w:r>
        <w:rPr>
          <w:rFonts w:hint="eastAsia"/>
        </w:rPr>
        <w:t>“十三五”以来，新丰县以工业园区整合提升和现代产业集群培育为主要抓手，着力优化产业空间布局，做大做强产业发展平台。回龙华厦建陶园回购依法推进，工业产业园四大片区的基础设施不断完善。</w:t>
      </w:r>
      <w:r>
        <w:t>2015</w:t>
      </w:r>
      <w:r>
        <w:rPr>
          <w:rFonts w:hint="eastAsia"/>
        </w:rPr>
        <w:t>年省经信委发函同意新丰县依托东莞（韶关）产业转移工业园带动产业集聚发展，享受省产业转移政策。</w:t>
      </w:r>
    </w:p>
    <w:p>
      <w:pPr>
        <w:bidi w:val="0"/>
      </w:pPr>
      <w:r>
        <w:rPr>
          <w:rFonts w:hint="eastAsia"/>
          <w:b/>
          <w:bCs/>
        </w:rPr>
        <w:t>绿色制造成果突出。</w:t>
      </w:r>
      <w:r>
        <w:rPr>
          <w:rFonts w:hint="eastAsia"/>
        </w:rPr>
        <w:t>“十三五”以来，新丰县以推进资源节约型、环境友好型社会建设为抓手，激励和倒逼企业集约发展，切实加</w:t>
      </w:r>
      <w:r>
        <w:rPr>
          <w:rFonts w:hint="eastAsia"/>
          <w:lang w:val="en-US" w:eastAsia="zh-CN"/>
        </w:rPr>
        <w:t>大</w:t>
      </w:r>
      <w:r>
        <w:rPr>
          <w:rFonts w:hint="eastAsia"/>
        </w:rPr>
        <w:t>产能落后企业</w:t>
      </w:r>
      <w:r>
        <w:rPr>
          <w:rFonts w:hint="eastAsia"/>
          <w:lang w:val="en-US" w:eastAsia="zh-CN"/>
        </w:rPr>
        <w:t>的</w:t>
      </w:r>
      <w:r>
        <w:rPr>
          <w:rFonts w:hint="eastAsia"/>
        </w:rPr>
        <w:t>整治力度。能源产业结构进一步优化，风能、生物质能等可再生能源的占比逐步提升；韶关新丰项目建成投产。开工建设广汽南方（韶关）智能网联新能源汽车试验检测中心，打造封闭测试场地以及半开放道路测试环境，成为引领全国智能网联汽车电子产业</w:t>
      </w:r>
      <w:r>
        <w:rPr>
          <w:rFonts w:hint="eastAsia"/>
          <w:lang w:val="en-US" w:eastAsia="zh-CN"/>
        </w:rPr>
        <w:t>的</w:t>
      </w:r>
      <w:r>
        <w:rPr>
          <w:rFonts w:hint="eastAsia"/>
        </w:rPr>
        <w:t>新高地。</w:t>
      </w:r>
    </w:p>
    <w:p>
      <w:pPr>
        <w:pStyle w:val="14"/>
        <w:ind w:left="0" w:leftChars="0" w:firstLine="0" w:firstLineChars="0"/>
        <w:jc w:val="center"/>
        <w:rPr>
          <w:rFonts w:hint="eastAsia" w:ascii="楷体" w:hAnsi="楷体" w:eastAsia="楷体" w:cs="楷体"/>
          <w:kern w:val="0"/>
          <w:sz w:val="28"/>
          <w:szCs w:val="28"/>
          <w:lang w:val="en-US" w:eastAsia="zh-CN" w:bidi="ar-SA"/>
        </w:rPr>
      </w:pPr>
      <w:r>
        <w:drawing>
          <wp:inline distT="0" distB="0" distL="114300" distR="114300">
            <wp:extent cx="5241290" cy="3175000"/>
            <wp:effectExtent l="6350" t="6350" r="10160" b="190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楷体" w:hAnsi="楷体" w:eastAsia="楷体" w:cs="楷体"/>
          <w:kern w:val="0"/>
          <w:sz w:val="28"/>
          <w:szCs w:val="28"/>
          <w:lang w:val="en-US" w:eastAsia="zh-CN" w:bidi="ar-SA"/>
        </w:rPr>
        <w:t>图 1 新丰县“十三五”期间工业发展成绩</w:t>
      </w:r>
    </w:p>
    <w:p>
      <w:pPr>
        <w:pStyle w:val="30"/>
        <w:numPr>
          <w:ilvl w:val="0"/>
          <w:numId w:val="2"/>
        </w:numPr>
        <w:spacing w:before="156" w:beforeLines="50" w:after="156" w:afterLines="50"/>
        <w:ind w:firstLineChars="0"/>
        <w:outlineLvl w:val="1"/>
        <w:rPr>
          <w:rFonts w:ascii="楷体" w:hAnsi="楷体" w:eastAsia="楷体"/>
          <w:b/>
          <w:bCs/>
          <w:sz w:val="32"/>
          <w:szCs w:val="32"/>
        </w:rPr>
      </w:pPr>
      <w:bookmarkStart w:id="5" w:name="_Toc6296"/>
      <w:bookmarkStart w:id="6" w:name="_Toc43806270"/>
      <w:r>
        <w:rPr>
          <w:rFonts w:hint="eastAsia" w:ascii="楷体" w:hAnsi="楷体" w:eastAsia="楷体"/>
          <w:b/>
          <w:bCs/>
          <w:sz w:val="32"/>
          <w:szCs w:val="32"/>
        </w:rPr>
        <w:t>存在问题</w:t>
      </w:r>
      <w:bookmarkEnd w:id="5"/>
    </w:p>
    <w:p>
      <w:pPr>
        <w:bidi w:val="0"/>
        <w:rPr>
          <w:rFonts w:hint="eastAsia"/>
          <w:b w:val="0"/>
          <w:bCs w:val="0"/>
        </w:rPr>
      </w:pPr>
      <w:r>
        <w:rPr>
          <w:rFonts w:hint="eastAsia"/>
          <w:b/>
          <w:bCs/>
        </w:rPr>
        <w:t>工业发展质量不高。</w:t>
      </w:r>
      <w:r>
        <w:rPr>
          <w:rFonts w:hint="eastAsia"/>
          <w:b/>
          <w:bCs/>
          <w:lang w:val="en-US" w:eastAsia="zh-CN"/>
        </w:rPr>
        <w:t>一是</w:t>
      </w:r>
      <w:r>
        <w:rPr>
          <w:rFonts w:hint="eastAsia"/>
          <w:b w:val="0"/>
          <w:bCs w:val="0"/>
        </w:rPr>
        <w:t>经济总量偏小，综合实力较弱</w:t>
      </w:r>
      <w:r>
        <w:rPr>
          <w:rFonts w:hint="eastAsia"/>
          <w:b w:val="0"/>
          <w:bCs w:val="0"/>
          <w:lang w:eastAsia="zh-CN"/>
        </w:rPr>
        <w:t>，</w:t>
      </w:r>
      <w:r>
        <w:rPr>
          <w:rFonts w:hint="eastAsia"/>
        </w:rPr>
        <w:t>2019年全县规上工业增加值12.18亿元，占韶关市333.57亿元的3.65%，全市排名第八。</w:t>
      </w:r>
      <w:r>
        <w:rPr>
          <w:rFonts w:hint="eastAsia"/>
          <w:b/>
          <w:bCs/>
          <w:lang w:val="en-US" w:eastAsia="zh-CN"/>
        </w:rPr>
        <w:t>二是</w:t>
      </w:r>
      <w:r>
        <w:rPr>
          <w:rFonts w:hint="eastAsia"/>
          <w:b w:val="0"/>
          <w:bCs w:val="0"/>
        </w:rPr>
        <w:t>“大、优、强”企业不多，主导产业仍然偏重于</w:t>
      </w:r>
      <w:r>
        <w:rPr>
          <w:rFonts w:hint="eastAsia"/>
          <w:b w:val="0"/>
          <w:bCs w:val="0"/>
          <w:lang w:val="en-US" w:eastAsia="zh-CN"/>
        </w:rPr>
        <w:t>传统</w:t>
      </w:r>
      <w:r>
        <w:rPr>
          <w:rFonts w:hint="eastAsia"/>
          <w:b w:val="0"/>
          <w:bCs w:val="0"/>
        </w:rPr>
        <w:t>资源性产业</w:t>
      </w:r>
      <w:r>
        <w:rPr>
          <w:rFonts w:hint="eastAsia"/>
          <w:b w:val="0"/>
          <w:bCs w:val="0"/>
          <w:lang w:eastAsia="zh-CN"/>
        </w:rPr>
        <w:t>，</w:t>
      </w:r>
      <w:r>
        <w:rPr>
          <w:rFonts w:hint="eastAsia"/>
        </w:rPr>
        <w:t>2</w:t>
      </w:r>
      <w:r>
        <w:t>019</w:t>
      </w:r>
      <w:r>
        <w:rPr>
          <w:rFonts w:hint="eastAsia"/>
        </w:rPr>
        <w:t>年水泥工业增加值达到5</w:t>
      </w:r>
      <w:r>
        <w:t>.3</w:t>
      </w:r>
      <w:r>
        <w:rPr>
          <w:rFonts w:hint="eastAsia"/>
        </w:rPr>
        <w:t>亿元，占规上工业增加值的4</w:t>
      </w:r>
      <w:r>
        <w:t>3.84</w:t>
      </w:r>
      <w:r>
        <w:rPr>
          <w:rFonts w:hint="eastAsia"/>
        </w:rPr>
        <w:t>%。</w:t>
      </w:r>
      <w:r>
        <w:rPr>
          <w:rFonts w:hint="eastAsia"/>
          <w:b/>
          <w:bCs/>
          <w:lang w:val="en-US" w:eastAsia="zh-CN"/>
        </w:rPr>
        <w:t>三是</w:t>
      </w:r>
      <w:r>
        <w:rPr>
          <w:rFonts w:hint="eastAsia"/>
          <w:b w:val="0"/>
          <w:bCs w:val="0"/>
        </w:rPr>
        <w:t>受经济下行、中美贸易战，以及国家融资收紧、统计数据修订等宏观调控的叠加影响，工业增加值增速持续下滑，也反映我县企业竞争力不强、发展质量不高、新动能缺乏的现状。</w:t>
      </w:r>
    </w:p>
    <w:p>
      <w:pPr>
        <w:bidi w:val="0"/>
        <w:rPr>
          <w:rFonts w:hint="eastAsia"/>
          <w:b w:val="0"/>
          <w:bCs w:val="0"/>
        </w:rPr>
      </w:pPr>
      <w:r>
        <w:rPr>
          <w:rFonts w:hint="eastAsia"/>
          <w:b/>
          <w:bCs/>
        </w:rPr>
        <w:t>资源环境</w:t>
      </w:r>
      <w:r>
        <w:rPr>
          <w:rFonts w:hint="eastAsia"/>
          <w:b/>
          <w:bCs/>
          <w:lang w:val="en-US" w:eastAsia="zh-CN"/>
        </w:rPr>
        <w:t>限制</w:t>
      </w:r>
      <w:r>
        <w:rPr>
          <w:rFonts w:hint="eastAsia"/>
          <w:b/>
          <w:bCs/>
        </w:rPr>
        <w:t>较</w:t>
      </w:r>
      <w:r>
        <w:rPr>
          <w:rFonts w:hint="eastAsia"/>
          <w:b/>
          <w:bCs/>
          <w:lang w:val="en-US" w:eastAsia="zh-CN"/>
        </w:rPr>
        <w:t>大</w:t>
      </w:r>
      <w:r>
        <w:rPr>
          <w:rFonts w:hint="eastAsia"/>
          <w:b/>
          <w:bCs/>
        </w:rPr>
        <w:t>。</w:t>
      </w:r>
      <w:r>
        <w:rPr>
          <w:rFonts w:hint="eastAsia"/>
          <w:b w:val="0"/>
          <w:bCs w:val="0"/>
        </w:rPr>
        <w:t>作为典型的“九山半水半分田”山区县，土地利用和审批程序等方面受到制约，用地指标难度加大，</w:t>
      </w:r>
      <w:r>
        <w:rPr>
          <w:rFonts w:hint="eastAsia"/>
          <w:b w:val="0"/>
          <w:bCs w:val="0"/>
          <w:lang w:val="en-US" w:eastAsia="zh-CN"/>
        </w:rPr>
        <w:t>导</w:t>
      </w:r>
      <w:r>
        <w:rPr>
          <w:rFonts w:hint="eastAsia"/>
          <w:b w:val="0"/>
          <w:bCs w:val="0"/>
        </w:rPr>
        <w:t>致报批难，供地难；林地、环保报批难度加大；作为国家重点生态功能区、省生态发展区，环境要素制约趋紧，对产业发展要求更加严格。</w:t>
      </w:r>
    </w:p>
    <w:p>
      <w:pPr>
        <w:bidi w:val="0"/>
      </w:pPr>
      <w:r>
        <w:rPr>
          <w:rFonts w:hint="eastAsia"/>
          <w:b/>
          <w:bCs/>
        </w:rPr>
        <w:t>集群优势不够明显。</w:t>
      </w:r>
      <w:r>
        <w:rPr>
          <w:rFonts w:hint="eastAsia"/>
        </w:rPr>
        <w:t>“十三五”以来，我县缺乏具有一定影响力和竞争力的先进制造业集群，</w:t>
      </w:r>
      <w:r>
        <w:rPr>
          <w:rFonts w:hint="eastAsia"/>
          <w:b w:val="0"/>
          <w:bCs w:val="0"/>
        </w:rPr>
        <w:t>园区配套条件不完善</w:t>
      </w:r>
      <w:r>
        <w:rPr>
          <w:rFonts w:hint="eastAsia"/>
          <w:b w:val="0"/>
          <w:bCs w:val="0"/>
          <w:lang w:eastAsia="zh-CN"/>
        </w:rPr>
        <w:t>，</w:t>
      </w:r>
      <w:r>
        <w:rPr>
          <w:rFonts w:hint="eastAsia"/>
          <w:b w:val="0"/>
          <w:bCs w:val="0"/>
        </w:rPr>
        <w:t>项目之间</w:t>
      </w:r>
      <w:r>
        <w:rPr>
          <w:rFonts w:hint="eastAsia"/>
          <w:b w:val="0"/>
          <w:bCs w:val="0"/>
          <w:lang w:val="en-US" w:eastAsia="zh-CN"/>
        </w:rPr>
        <w:t>的</w:t>
      </w:r>
      <w:r>
        <w:rPr>
          <w:rFonts w:hint="eastAsia"/>
          <w:b w:val="0"/>
          <w:bCs w:val="0"/>
        </w:rPr>
        <w:t>关联度不够，没有形成系统的产业链</w:t>
      </w:r>
      <w:r>
        <w:rPr>
          <w:rFonts w:hint="eastAsia"/>
        </w:rPr>
        <w:t>。战略性新兴产业以及先进制造业仍未形成产业集群，上下游产业链显著不足。</w:t>
      </w:r>
    </w:p>
    <w:p>
      <w:pPr>
        <w:bidi w:val="0"/>
        <w:rPr>
          <w:rFonts w:hint="eastAsia"/>
          <w:b w:val="0"/>
          <w:bCs w:val="0"/>
        </w:rPr>
      </w:pPr>
      <w:r>
        <w:rPr>
          <w:rFonts w:hint="eastAsia"/>
          <w:b/>
          <w:bCs/>
        </w:rPr>
        <w:t>创新环境有待提升。</w:t>
      </w:r>
      <w:r>
        <w:rPr>
          <w:rFonts w:hint="eastAsia"/>
        </w:rPr>
        <w:t>“十三五”以来，</w:t>
      </w:r>
      <w:r>
        <w:rPr>
          <w:rFonts w:hint="eastAsia"/>
          <w:b w:val="0"/>
          <w:bCs w:val="0"/>
        </w:rPr>
        <w:t>我县规上工业多数为传统行业，企业科技创新意识不足，专利意识较弱，对科技创新工作不够重视，产业科技创新水平不高。受社会经济发展水平限制，县域难以吸引资金、人才等科技创新资源要素聚集，</w:t>
      </w:r>
      <w:r>
        <w:rPr>
          <w:rFonts w:hint="eastAsia"/>
        </w:rPr>
        <w:t>相比韶关市及其他县市</w:t>
      </w:r>
      <w:r>
        <w:rPr>
          <w:rFonts w:hint="eastAsia"/>
          <w:lang w:val="en-US" w:eastAsia="zh-CN"/>
        </w:rPr>
        <w:t>的</w:t>
      </w:r>
      <w:r>
        <w:rPr>
          <w:rFonts w:hint="eastAsia"/>
        </w:rPr>
        <w:t>专业型、技术型、复合型人才仍为紧缺。</w:t>
      </w:r>
      <w:r>
        <w:rPr>
          <w:rFonts w:hint="eastAsia"/>
          <w:b w:val="0"/>
          <w:bCs w:val="0"/>
        </w:rPr>
        <w:t>科技型企业引进相当困难，近几年呈现零增长状态，县域科技创新对社会经济</w:t>
      </w:r>
      <w:r>
        <w:rPr>
          <w:rFonts w:hint="eastAsia"/>
          <w:b w:val="0"/>
          <w:bCs w:val="0"/>
          <w:lang w:val="en-US" w:eastAsia="zh-CN"/>
        </w:rPr>
        <w:t>发展</w:t>
      </w:r>
      <w:r>
        <w:rPr>
          <w:rFonts w:hint="eastAsia"/>
          <w:b w:val="0"/>
          <w:bCs w:val="0"/>
        </w:rPr>
        <w:t>的支撑作用力</w:t>
      </w:r>
      <w:r>
        <w:rPr>
          <w:rFonts w:hint="eastAsia"/>
          <w:b w:val="0"/>
          <w:bCs w:val="0"/>
          <w:lang w:val="en-US" w:eastAsia="zh-CN"/>
        </w:rPr>
        <w:t>较</w:t>
      </w:r>
      <w:r>
        <w:rPr>
          <w:rFonts w:hint="eastAsia"/>
          <w:b w:val="0"/>
          <w:bCs w:val="0"/>
        </w:rPr>
        <w:t>小。</w:t>
      </w:r>
      <w:bookmarkEnd w:id="6"/>
    </w:p>
    <w:p>
      <w:pPr>
        <w:pStyle w:val="30"/>
        <w:numPr>
          <w:ilvl w:val="0"/>
          <w:numId w:val="1"/>
        </w:numPr>
        <w:spacing w:before="156" w:beforeLines="50"/>
        <w:ind w:left="1061" w:firstLineChars="0"/>
        <w:outlineLvl w:val="0"/>
        <w:rPr>
          <w:rFonts w:ascii="黑体" w:hAnsi="黑体" w:eastAsia="黑体"/>
          <w:sz w:val="32"/>
          <w:szCs w:val="32"/>
        </w:rPr>
      </w:pPr>
      <w:bookmarkStart w:id="7" w:name="_Toc6568"/>
      <w:bookmarkStart w:id="8" w:name="_Toc43806271"/>
      <w:r>
        <w:rPr>
          <w:rFonts w:hint="eastAsia" w:ascii="黑体" w:hAnsi="黑体" w:eastAsia="黑体"/>
          <w:sz w:val="32"/>
          <w:szCs w:val="32"/>
        </w:rPr>
        <w:t>发展机遇</w:t>
      </w:r>
      <w:bookmarkEnd w:id="7"/>
    </w:p>
    <w:p>
      <w:pPr>
        <w:pStyle w:val="30"/>
        <w:numPr>
          <w:ilvl w:val="0"/>
          <w:numId w:val="3"/>
        </w:numPr>
        <w:spacing w:before="156" w:beforeLines="50" w:after="156" w:afterLines="50"/>
        <w:ind w:firstLineChars="0"/>
        <w:outlineLvl w:val="1"/>
        <w:rPr>
          <w:rFonts w:ascii="楷体" w:hAnsi="楷体" w:eastAsia="楷体"/>
          <w:b/>
          <w:bCs/>
          <w:sz w:val="32"/>
          <w:szCs w:val="32"/>
        </w:rPr>
      </w:pPr>
      <w:bookmarkStart w:id="9" w:name="_Toc19131"/>
      <w:r>
        <w:rPr>
          <w:rFonts w:hint="eastAsia" w:ascii="楷体" w:hAnsi="楷体" w:eastAsia="楷体"/>
          <w:b/>
          <w:bCs/>
          <w:sz w:val="32"/>
          <w:szCs w:val="32"/>
        </w:rPr>
        <w:t>面临形势</w:t>
      </w:r>
      <w:bookmarkEnd w:id="9"/>
    </w:p>
    <w:p>
      <w:pPr>
        <w:bidi w:val="0"/>
      </w:pPr>
      <w:r>
        <w:rPr>
          <w:rFonts w:hint="eastAsia"/>
          <w:b/>
          <w:bCs/>
        </w:rPr>
        <w:t>从国际看，</w:t>
      </w:r>
      <w:r>
        <w:rPr>
          <w:rFonts w:hint="eastAsia"/>
        </w:rPr>
        <w:t>一些发达国家出现新科技革命兴起、制造业回流以及逆全球化三大特征，新的产业机会应运而生，对我国制造业带来巨大挑战。以人工智能为代表的新技术以及由此催生新的产品和服务、新的产业、新的商业模式和新的增长动力，即将改变未来产业布局，制造业将在国际范围内重新洗牌。可见，中国工业在全球价值链的中高端体系中面临发达国家和发展中国家的双重挤压。</w:t>
      </w:r>
    </w:p>
    <w:p>
      <w:pPr>
        <w:bidi w:val="0"/>
      </w:pPr>
      <w:r>
        <w:rPr>
          <w:rFonts w:hint="eastAsia"/>
          <w:b/>
          <w:bCs/>
        </w:rPr>
        <w:t>从国内看，</w:t>
      </w:r>
      <w:r>
        <w:rPr>
          <w:rFonts w:hint="eastAsia"/>
        </w:rPr>
        <w:t>我国经济由高速增长阶段逐步转向高质量发展阶段，正处于大力转变经济发展、优化经济结构、转换增长动力的关键时期。企业面临信息全球化、资本流动全球化、市场全球化、生产组织全球化、技术更新加速等诸多方面的严峻考验，数字化、绿色化、智能化将成为工业发展的重要趋势。</w:t>
      </w:r>
    </w:p>
    <w:p>
      <w:pPr>
        <w:bidi w:val="0"/>
      </w:pPr>
      <w:r>
        <w:rPr>
          <w:rFonts w:hint="eastAsia"/>
          <w:b/>
          <w:bCs/>
        </w:rPr>
        <w:t>从省内看，</w:t>
      </w:r>
      <w:r>
        <w:rPr>
          <w:rFonts w:hint="eastAsia"/>
        </w:rPr>
        <w:t>广东省制造业经过改革开放后多年持续快速发展，目前已呈现出基础好、规模大、门类全的良好发展格局。《广东省工业园区高质量发展》文件提出，促进珠三角核心区工业园区转型升级，抓住“双区”建设重大机遇，努力打造先进制造业基地和制造业创新集聚地、开放合作先行地和发展环境高地，推动广东制造业高质量发展走在全国前列。</w:t>
      </w:r>
      <w:bookmarkStart w:id="10" w:name="_Toc294014470"/>
      <w:bookmarkEnd w:id="10"/>
      <w:bookmarkStart w:id="11" w:name="_Toc283138820"/>
    </w:p>
    <w:p>
      <w:pPr>
        <w:bidi w:val="0"/>
      </w:pPr>
      <w:r>
        <w:rPr>
          <w:rFonts w:hint="eastAsia"/>
        </w:rPr>
        <w:t>韶关市优化制造业发展环境，努力构建现代产业体系，加快推进制造业“强核提质”，进一步提高产业集聚度，持续推动产业转型升级，加强产业招商和项目落地，蓄力发展数字经济，推进品质提升行动，深化扩园提质和引才行动，以创新驱动引领制造业高质量发展。</w:t>
      </w:r>
      <w:bookmarkEnd w:id="11"/>
    </w:p>
    <w:p>
      <w:pPr>
        <w:bidi w:val="0"/>
      </w:pPr>
      <w:r>
        <w:rPr>
          <w:rFonts w:hint="eastAsia"/>
        </w:rPr>
        <w:t>新丰县位于“一带一核一区”的北部生态发展区，与“广惠清河”四市七县（区）接壤，大广高速、武深高速穿境而过。作为韶关市承接珠三角产业转移的桥头堡，新丰始终坚持把工业作为经济发展的主战场，建立特色产业园区，提高产业聚集度；以铁矿、水泥等资源型产业为</w:t>
      </w:r>
      <w:r>
        <w:t>支撑的工业格局开始</w:t>
      </w:r>
      <w:r>
        <w:rPr>
          <w:rFonts w:hint="eastAsia"/>
          <w:lang w:eastAsia="zh-CN"/>
        </w:rPr>
        <w:t>“</w:t>
      </w:r>
      <w:r>
        <w:t>突围</w:t>
      </w:r>
      <w:r>
        <w:rPr>
          <w:rFonts w:hint="eastAsia"/>
          <w:lang w:eastAsia="zh-CN"/>
        </w:rPr>
        <w:t>”</w:t>
      </w:r>
      <w:r>
        <w:t>，呈现出</w:t>
      </w:r>
      <w:r>
        <w:rPr>
          <w:rFonts w:hint="eastAsia"/>
          <w:lang w:eastAsia="zh-CN"/>
        </w:rPr>
        <w:t>“</w:t>
      </w:r>
      <w:r>
        <w:t>新能源、新材料、装备制造</w:t>
      </w:r>
      <w:r>
        <w:rPr>
          <w:rFonts w:hint="eastAsia"/>
          <w:lang w:eastAsia="zh-CN"/>
        </w:rPr>
        <w:t>”</w:t>
      </w:r>
      <w:r>
        <w:t>等多点支撑的新局面。</w:t>
      </w:r>
    </w:p>
    <w:p>
      <w:pPr>
        <w:pStyle w:val="30"/>
        <w:numPr>
          <w:ilvl w:val="0"/>
          <w:numId w:val="3"/>
        </w:numPr>
        <w:spacing w:before="156" w:beforeLines="50" w:after="156" w:afterLines="50"/>
        <w:ind w:firstLineChars="0"/>
        <w:outlineLvl w:val="1"/>
        <w:rPr>
          <w:rFonts w:ascii="楷体" w:hAnsi="楷体" w:eastAsia="楷体"/>
          <w:b/>
          <w:bCs/>
          <w:sz w:val="32"/>
          <w:szCs w:val="32"/>
        </w:rPr>
      </w:pPr>
      <w:bookmarkStart w:id="12" w:name="_Toc30957"/>
      <w:r>
        <w:rPr>
          <w:rFonts w:hint="eastAsia" w:ascii="楷体" w:hAnsi="楷体" w:eastAsia="楷体"/>
          <w:b/>
          <w:bCs/>
          <w:sz w:val="32"/>
          <w:szCs w:val="32"/>
        </w:rPr>
        <w:t>主要挑战</w:t>
      </w:r>
      <w:bookmarkEnd w:id="12"/>
    </w:p>
    <w:p>
      <w:pPr>
        <w:bidi w:val="0"/>
      </w:pPr>
      <w:r>
        <w:rPr>
          <w:rFonts w:hint="eastAsia"/>
        </w:rPr>
        <w:t>“十四五”时期，新丰面临“三期叠加”</w:t>
      </w:r>
      <w:r>
        <w:t>——</w:t>
      </w:r>
      <w:r>
        <w:rPr>
          <w:rFonts w:hint="eastAsia"/>
        </w:rPr>
        <w:t>转型升级阵痛期、资源枯竭痛苦期以及环境欠债偿还期的困境，工业经济高质量发展面临多重挑战。</w:t>
      </w:r>
    </w:p>
    <w:p>
      <w:pPr>
        <w:bidi w:val="0"/>
      </w:pPr>
      <w:r>
        <w:rPr>
          <w:rFonts w:hint="eastAsia"/>
          <w:b/>
          <w:bCs/>
        </w:rPr>
        <w:t>产业整体层次偏低。</w:t>
      </w:r>
      <w:r>
        <w:rPr>
          <w:rFonts w:hint="eastAsia"/>
        </w:rPr>
        <w:t>当前，我国工业正朝着数字化、智能化、绿色化以及生态化的方向大力发展，新丰县经济发展的质量和效益远落后于国家标准。“十三五”期间，尽管我县三次产业结构占比顺序从“二三一”向“三二一”转变，但产业总体发展层次偏低，传统产业、资源性产业以及中低端产业占比仍然较大；工业结构不合理，原材料工业的比重较高，制造业和高新技术产业的比重偏低，新兴产业发展滞后，产品科技含量低。</w:t>
      </w:r>
    </w:p>
    <w:p>
      <w:pPr>
        <w:bidi w:val="0"/>
      </w:pPr>
      <w:r>
        <w:rPr>
          <w:rFonts w:hint="eastAsia"/>
          <w:b/>
          <w:bCs/>
        </w:rPr>
        <w:t>资源短缺矛盾凸出。</w:t>
      </w:r>
      <w:r>
        <w:rPr>
          <w:rFonts w:hint="eastAsia"/>
        </w:rPr>
        <w:t>随着新丰工业化和城市化进程加快、居民消费升级，经济增长对自然资源的需求越来越大，供求矛盾越来越突出，土地、矿产等资源的紧缺和供应相对滞后，将在一定程度上制约工业经济发展速度。资源要素制约问题突出，作为国家重点生态功能区，新丰的发展受用地、林地、环保等要素制约，对全县的招商引资、重点项目建设的发展有一定程度影响。</w:t>
      </w:r>
    </w:p>
    <w:p>
      <w:pPr>
        <w:bidi w:val="0"/>
      </w:pPr>
      <w:r>
        <w:rPr>
          <w:rFonts w:hint="eastAsia"/>
          <w:b/>
          <w:bCs/>
        </w:rPr>
        <w:t>区域竞争压力增大。</w:t>
      </w:r>
      <w:r>
        <w:rPr>
          <w:rFonts w:hint="eastAsia"/>
        </w:rPr>
        <w:t>新丰县周边的翁源县、龙门县，在产业基础和综合区位上，都与新丰县的产业发展存在竞争关系。龙门县2019年工业增加值达到69.31亿元，远高于新丰县的14.94亿元，拥有更优质的产业基础。新丰县与大湾区接壤，在韶关市内占据绝佳区位优势，然而2019年的规上工业产值44.5亿元低于翁源县的49.6亿元。同时，新丰县与翁源县的产业发展重点相似，新丰县面临着较大的周边区域竞争压力。</w:t>
      </w:r>
    </w:p>
    <w:p>
      <w:pPr>
        <w:pStyle w:val="30"/>
        <w:numPr>
          <w:ilvl w:val="0"/>
          <w:numId w:val="1"/>
        </w:numPr>
        <w:spacing w:before="156" w:beforeLines="50"/>
        <w:ind w:left="1061" w:firstLineChars="0"/>
        <w:outlineLvl w:val="0"/>
        <w:rPr>
          <w:rFonts w:ascii="黑体" w:hAnsi="黑体" w:eastAsia="黑体"/>
          <w:sz w:val="32"/>
          <w:szCs w:val="32"/>
        </w:rPr>
      </w:pPr>
      <w:bookmarkStart w:id="13" w:name="_Toc20358"/>
      <w:bookmarkStart w:id="14" w:name="_Toc45901432"/>
      <w:r>
        <w:rPr>
          <w:rFonts w:hint="eastAsia" w:ascii="黑体" w:hAnsi="黑体" w:eastAsia="黑体"/>
          <w:sz w:val="32"/>
          <w:szCs w:val="32"/>
        </w:rPr>
        <w:t>总体思路</w:t>
      </w:r>
      <w:bookmarkEnd w:id="13"/>
      <w:bookmarkEnd w:id="14"/>
    </w:p>
    <w:p>
      <w:pPr>
        <w:pStyle w:val="30"/>
        <w:numPr>
          <w:ilvl w:val="0"/>
          <w:numId w:val="4"/>
        </w:numPr>
        <w:spacing w:before="156" w:beforeLines="50" w:after="156" w:afterLines="50"/>
        <w:ind w:firstLineChars="0"/>
        <w:outlineLvl w:val="1"/>
        <w:rPr>
          <w:rFonts w:ascii="楷体" w:hAnsi="楷体" w:eastAsia="楷体"/>
          <w:b/>
          <w:bCs/>
          <w:sz w:val="32"/>
          <w:szCs w:val="32"/>
        </w:rPr>
      </w:pPr>
      <w:bookmarkStart w:id="15" w:name="_Toc30682"/>
      <w:bookmarkStart w:id="16" w:name="_Toc43806272"/>
      <w:bookmarkStart w:id="17" w:name="_Toc45901433"/>
      <w:r>
        <w:rPr>
          <w:rFonts w:hint="eastAsia" w:ascii="楷体" w:hAnsi="楷体" w:eastAsia="楷体"/>
          <w:b/>
          <w:bCs/>
          <w:sz w:val="32"/>
          <w:szCs w:val="32"/>
        </w:rPr>
        <w:t>指导思想</w:t>
      </w:r>
      <w:bookmarkEnd w:id="15"/>
      <w:bookmarkEnd w:id="16"/>
      <w:bookmarkEnd w:id="17"/>
    </w:p>
    <w:p>
      <w:pPr>
        <w:bidi w:val="0"/>
      </w:pPr>
      <w:r>
        <w:rPr>
          <w:rFonts w:hint="eastAsia"/>
        </w:rPr>
        <w:t>坚持以习近平新时代中国特色社会主义思想为指导，全面贯彻党的十九大和十九届二中、三中、四中全会精神以及中央经济工作会议精神，认真贯彻落实省委十二届七次、八次、九次全会和市委十二届九次、十次、十一次全会精神，以“四个坚持、三个支撑、两个走在前列”统领，全面落实省委“1+1+9”工作部署；牢固树立新发展理念，落实高质量发展要求，顺应“互联网</w:t>
      </w:r>
      <w:r>
        <w:t>+</w:t>
      </w:r>
      <w:r>
        <w:rPr>
          <w:rFonts w:hint="eastAsia"/>
        </w:rPr>
        <w:t>”的发展趋势，围绕“融入珠三角，服务大湾区”的战略部署和“生态富民立县”的发展目标，坚持以生态文明建设为统领，以推进创新发展和供给侧结构性改革为动力，以加快新一代信息技术与制造业深度融合为主线，以提升工业经济发展的质量和效益为中心，更加注重稳增长与调结构同步推进、内涵式增长与外向型拓展紧密结合，拉高标杆，精准发力，补齐制约新丰县工业发展的根本性和关键性短板，不断推动工业经济保持中高速增长、迈向中高端水平，着力把新丰建设成为韶关服务双区建设的“南部对接平台”，粤北地区工业高质量发展的示范区。</w:t>
      </w:r>
    </w:p>
    <w:p>
      <w:pPr>
        <w:pStyle w:val="30"/>
        <w:numPr>
          <w:ilvl w:val="0"/>
          <w:numId w:val="4"/>
        </w:numPr>
        <w:spacing w:before="156" w:beforeLines="50" w:after="156" w:afterLines="50"/>
        <w:ind w:firstLineChars="0"/>
        <w:outlineLvl w:val="1"/>
        <w:rPr>
          <w:rFonts w:ascii="楷体" w:hAnsi="楷体" w:eastAsia="楷体"/>
          <w:b/>
          <w:bCs/>
          <w:sz w:val="32"/>
          <w:szCs w:val="32"/>
        </w:rPr>
      </w:pPr>
      <w:bookmarkStart w:id="18" w:name="_Toc43806273"/>
      <w:bookmarkStart w:id="19" w:name="_Toc45901434"/>
      <w:bookmarkStart w:id="20" w:name="_Toc19312"/>
      <w:r>
        <w:rPr>
          <w:rFonts w:hint="eastAsia" w:ascii="楷体" w:hAnsi="楷体" w:eastAsia="楷体"/>
          <w:b/>
          <w:bCs/>
          <w:sz w:val="32"/>
          <w:szCs w:val="32"/>
        </w:rPr>
        <w:t>发展</w:t>
      </w:r>
      <w:bookmarkEnd w:id="18"/>
      <w:r>
        <w:rPr>
          <w:rFonts w:hint="eastAsia" w:ascii="楷体" w:hAnsi="楷体" w:eastAsia="楷体"/>
          <w:b/>
          <w:bCs/>
          <w:sz w:val="32"/>
          <w:szCs w:val="32"/>
        </w:rPr>
        <w:t>原则</w:t>
      </w:r>
      <w:bookmarkEnd w:id="19"/>
      <w:bookmarkEnd w:id="20"/>
    </w:p>
    <w:p>
      <w:pPr>
        <w:bidi w:val="0"/>
      </w:pPr>
      <w:r>
        <w:rPr>
          <w:rFonts w:hint="eastAsia"/>
        </w:rPr>
        <w:t>坚持创新、协调、绿色、开放、共享的基本原则，围绕“融入湾区、服务双区、生态发展、富民强县”的整体战略，坚持走“创新、融合、集群和绿色”的发展道路，努力构建与珠三角先进制造业融合发展的新格局。</w:t>
      </w:r>
    </w:p>
    <w:p>
      <w:pPr>
        <w:bidi w:val="0"/>
      </w:pPr>
      <w:r>
        <w:rPr>
          <w:rFonts w:hint="eastAsia"/>
          <w:b/>
          <w:bCs/>
        </w:rPr>
        <w:t>创新发展，构建体系。</w:t>
      </w:r>
      <w:r>
        <w:rPr>
          <w:rFonts w:hint="eastAsia"/>
        </w:rPr>
        <w:t>坚持把创新摆在工业高质量发展的核心位置，深入实施创新驱动发展战略，加快构建区域创新体系，着力集聚创新要素，激发创新活力，营造有利于创新发展的体制机制和环境氛围，推动工业经济走创新驱动的高质量发展道路。</w:t>
      </w:r>
    </w:p>
    <w:p>
      <w:pPr>
        <w:bidi w:val="0"/>
      </w:pPr>
      <w:r>
        <w:rPr>
          <w:rFonts w:hint="eastAsia"/>
          <w:b/>
          <w:bCs/>
        </w:rPr>
        <w:t>融合发展，产城互促。</w:t>
      </w:r>
      <w:r>
        <w:rPr>
          <w:rFonts w:hint="eastAsia"/>
        </w:rPr>
        <w:t>坚持把融合发展作为工业高质量发展的根本方向，统筹推进工业化与信息化、制造业与服务业、新兴产业与传统产业的融合互动，积极探索“以城带产、以产促城”的发展新模式，推动工业经济走融合互促的发展道路。</w:t>
      </w:r>
    </w:p>
    <w:p>
      <w:pPr>
        <w:bidi w:val="0"/>
      </w:pPr>
      <w:r>
        <w:rPr>
          <w:rFonts w:hint="eastAsia"/>
          <w:b/>
          <w:bCs/>
        </w:rPr>
        <w:t>集群发展，服务双区。</w:t>
      </w:r>
      <w:r>
        <w:rPr>
          <w:rFonts w:hint="eastAsia"/>
        </w:rPr>
        <w:t>坚持把现代产业集群作为工业发展的主要组织形式，根据“双区所需”，提供“新丰所能”。完善产业分工协作配套体系，大力推进协同创新、协同制造，实施工业强链、补链工程，强化区域品牌建设，依托工业园区平台，推动工业经济走集群协作的发展道路。</w:t>
      </w:r>
    </w:p>
    <w:p>
      <w:pPr>
        <w:bidi w:val="0"/>
      </w:pPr>
      <w:r>
        <w:rPr>
          <w:rFonts w:hint="eastAsia"/>
          <w:b/>
          <w:bCs/>
        </w:rPr>
        <w:t>绿色发展，确保持续。</w:t>
      </w:r>
      <w:r>
        <w:rPr>
          <w:rFonts w:hint="eastAsia"/>
        </w:rPr>
        <w:t>坚持把可持续发展作为推进工业高质量发展的重要原则，正确处理工业发展与资源、环境、社会的关系；加强节能环保“四新”的推广应用，形成“绿色产业链”，构建绿色低碳循环产业体系。</w:t>
      </w:r>
      <w:r>
        <w:t xml:space="preserve"> </w:t>
      </w:r>
    </w:p>
    <w:p>
      <w:pPr>
        <w:pStyle w:val="30"/>
        <w:numPr>
          <w:ilvl w:val="0"/>
          <w:numId w:val="4"/>
        </w:numPr>
        <w:spacing w:before="156" w:beforeLines="50" w:after="156" w:afterLines="50"/>
        <w:ind w:firstLineChars="0"/>
        <w:outlineLvl w:val="1"/>
        <w:rPr>
          <w:rFonts w:ascii="楷体" w:hAnsi="楷体" w:eastAsia="楷体"/>
          <w:b/>
          <w:bCs/>
          <w:sz w:val="32"/>
          <w:szCs w:val="32"/>
        </w:rPr>
      </w:pPr>
      <w:bookmarkStart w:id="21" w:name="_Toc14379"/>
      <w:bookmarkStart w:id="22" w:name="_Toc45901435"/>
      <w:bookmarkStart w:id="23" w:name="_Toc43806274"/>
      <w:r>
        <w:rPr>
          <w:rFonts w:hint="eastAsia" w:ascii="楷体" w:hAnsi="楷体" w:eastAsia="楷体"/>
          <w:b/>
          <w:bCs/>
          <w:sz w:val="32"/>
          <w:szCs w:val="32"/>
        </w:rPr>
        <w:t>发展目标</w:t>
      </w:r>
      <w:bookmarkEnd w:id="21"/>
      <w:bookmarkEnd w:id="22"/>
      <w:bookmarkEnd w:id="23"/>
    </w:p>
    <w:p>
      <w:pPr>
        <w:bidi w:val="0"/>
      </w:pPr>
      <w:r>
        <w:rPr>
          <w:rFonts w:hint="eastAsia"/>
        </w:rPr>
        <w:t>到“十四五”末，新丰工业高质量发展基础更加稳固，发展活力不断释放，工业经济总量持续提升，结构更加优化，科技创新能力不断增强，初步形成工业高质量发展的新丰模式。</w:t>
      </w:r>
    </w:p>
    <w:p>
      <w:pPr>
        <w:bidi w:val="0"/>
        <w:rPr>
          <w:rFonts w:hint="default"/>
          <w:lang w:val="en-US" w:eastAsia="zh-CN"/>
        </w:rPr>
      </w:pPr>
      <w:r>
        <w:rPr>
          <w:b/>
          <w:bCs/>
        </w:rPr>
        <w:t>——</w:t>
      </w:r>
      <w:r>
        <w:rPr>
          <w:rFonts w:hint="eastAsia"/>
          <w:b/>
          <w:bCs/>
        </w:rPr>
        <w:t>规模效益跃上新台阶。</w:t>
      </w:r>
      <w:r>
        <w:rPr>
          <w:rFonts w:hint="eastAsia"/>
        </w:rPr>
        <w:t>到“十四五”末，全县工业增加值达到</w:t>
      </w:r>
      <w:r>
        <w:rPr>
          <w:rFonts w:hint="eastAsia"/>
          <w:lang w:val="en-US" w:eastAsia="zh-CN"/>
        </w:rPr>
        <w:t>25</w:t>
      </w:r>
      <w:r>
        <w:rPr>
          <w:rFonts w:hint="eastAsia"/>
        </w:rPr>
        <w:t>亿元，年均增长9%；其中，规模以上工业增加值达到</w:t>
      </w:r>
      <w:r>
        <w:rPr>
          <w:rFonts w:hint="eastAsia"/>
          <w:lang w:val="en-US" w:eastAsia="zh-CN"/>
        </w:rPr>
        <w:t>21</w:t>
      </w:r>
      <w:r>
        <w:rPr>
          <w:rFonts w:hint="eastAsia"/>
        </w:rPr>
        <w:t>亿元，年均增长10%；规上工业总产值达到6</w:t>
      </w:r>
      <w:r>
        <w:rPr>
          <w:rFonts w:hint="eastAsia"/>
          <w:lang w:val="en-US" w:eastAsia="zh-CN"/>
        </w:rPr>
        <w:t>7</w:t>
      </w:r>
      <w:r>
        <w:rPr>
          <w:rFonts w:hint="eastAsia"/>
        </w:rPr>
        <w:t>亿元，年均增长7</w:t>
      </w:r>
      <w:r>
        <w:t>%</w:t>
      </w:r>
      <w:r>
        <w:rPr>
          <w:rFonts w:hint="eastAsia"/>
        </w:rPr>
        <w:t>。</w:t>
      </w:r>
      <w:r>
        <w:rPr>
          <w:rFonts w:hint="eastAsia"/>
          <w:lang w:val="en-US" w:eastAsia="zh-CN"/>
        </w:rPr>
        <w:t>规上工业企业数量达到40家，其中主营业务收入超10亿元的企业达到3家。</w:t>
      </w:r>
    </w:p>
    <w:p>
      <w:pPr>
        <w:bidi w:val="0"/>
      </w:pPr>
      <w:r>
        <w:rPr>
          <w:b/>
          <w:bCs/>
        </w:rPr>
        <w:t>——</w:t>
      </w:r>
      <w:r>
        <w:rPr>
          <w:rFonts w:hint="eastAsia"/>
          <w:b/>
          <w:bCs/>
        </w:rPr>
        <w:t>结构调整取得新成效。</w:t>
      </w:r>
      <w:r>
        <w:rPr>
          <w:rFonts w:hint="eastAsia"/>
        </w:rPr>
        <w:t>到2025年，全县新兴产业增加值占地区生产总值比重超过15</w:t>
      </w:r>
      <w:r>
        <w:t>%</w:t>
      </w:r>
      <w:r>
        <w:rPr>
          <w:rFonts w:hint="eastAsia"/>
        </w:rPr>
        <w:t>，先进制造业增加值占规模以上工业增加值</w:t>
      </w:r>
      <w:r>
        <w:rPr>
          <w:rFonts w:hint="eastAsia"/>
          <w:lang w:val="en-US" w:eastAsia="zh-CN"/>
        </w:rPr>
        <w:t>的</w:t>
      </w:r>
      <w:r>
        <w:rPr>
          <w:rFonts w:hint="eastAsia"/>
        </w:rPr>
        <w:t>比重达7</w:t>
      </w:r>
      <w:r>
        <w:t>%</w:t>
      </w:r>
      <w:r>
        <w:rPr>
          <w:rFonts w:hint="eastAsia"/>
        </w:rPr>
        <w:t>，高技术制造业增加值占规模以上工业增加值</w:t>
      </w:r>
      <w:r>
        <w:rPr>
          <w:rFonts w:hint="eastAsia"/>
          <w:lang w:val="en-US" w:eastAsia="zh-CN"/>
        </w:rPr>
        <w:t>的</w:t>
      </w:r>
      <w:r>
        <w:rPr>
          <w:rFonts w:hint="eastAsia"/>
        </w:rPr>
        <w:t>比重达18</w:t>
      </w:r>
      <w:r>
        <w:t>%</w:t>
      </w:r>
      <w:r>
        <w:rPr>
          <w:rFonts w:hint="eastAsia"/>
        </w:rPr>
        <w:t>，形成具有代表性的产业体系。</w:t>
      </w:r>
    </w:p>
    <w:p>
      <w:pPr>
        <w:bidi w:val="0"/>
      </w:pPr>
      <w:r>
        <w:rPr>
          <w:b/>
          <w:bCs/>
        </w:rPr>
        <w:t>——</w:t>
      </w:r>
      <w:r>
        <w:rPr>
          <w:rFonts w:hint="eastAsia"/>
          <w:b/>
          <w:bCs/>
        </w:rPr>
        <w:t>创新驱动取得新进步。</w:t>
      </w:r>
      <w:r>
        <w:rPr>
          <w:rFonts w:hint="eastAsia"/>
        </w:rPr>
        <w:t>到2025年，规模以上工业企业研发（</w:t>
      </w:r>
      <w:r>
        <w:t>R&amp;D</w:t>
      </w:r>
      <w:r>
        <w:rPr>
          <w:rFonts w:hint="eastAsia"/>
        </w:rPr>
        <w:t>）经费支出占地区生产总值的比重达到1.5%；国家高新技术工业企业数量达到18家；专利</w:t>
      </w:r>
      <w:r>
        <w:rPr>
          <w:rFonts w:hint="eastAsia"/>
          <w:lang w:val="en-US" w:eastAsia="zh-CN"/>
        </w:rPr>
        <w:t>申请</w:t>
      </w:r>
      <w:r>
        <w:rPr>
          <w:rFonts w:hint="eastAsia"/>
        </w:rPr>
        <w:t>量</w:t>
      </w:r>
      <w:r>
        <w:rPr>
          <w:rFonts w:hint="eastAsia"/>
          <w:lang w:val="en-US" w:eastAsia="zh-CN"/>
        </w:rPr>
        <w:t>达到312</w:t>
      </w:r>
      <w:r>
        <w:rPr>
          <w:rFonts w:hint="eastAsia"/>
        </w:rPr>
        <w:t>件，</w:t>
      </w:r>
      <w:r>
        <w:rPr>
          <w:rFonts w:hint="eastAsia"/>
          <w:lang w:val="en-US" w:eastAsia="zh-CN"/>
        </w:rPr>
        <w:t>科技</w:t>
      </w:r>
      <w:r>
        <w:rPr>
          <w:rFonts w:hint="eastAsia"/>
        </w:rPr>
        <w:t>创新平台</w:t>
      </w:r>
      <w:r>
        <w:rPr>
          <w:rFonts w:hint="eastAsia"/>
          <w:lang w:val="en-US" w:eastAsia="zh-CN"/>
        </w:rPr>
        <w:t>达到21</w:t>
      </w:r>
      <w:r>
        <w:rPr>
          <w:rFonts w:hint="eastAsia"/>
        </w:rPr>
        <w:t>个。</w:t>
      </w:r>
    </w:p>
    <w:p>
      <w:pPr>
        <w:bidi w:val="0"/>
      </w:pPr>
      <w:r>
        <w:rPr>
          <w:b/>
          <w:bCs/>
        </w:rPr>
        <w:t>——</w:t>
      </w:r>
      <w:r>
        <w:rPr>
          <w:rFonts w:hint="eastAsia"/>
          <w:b/>
          <w:bCs/>
        </w:rPr>
        <w:t>融合发展取得新突破。</w:t>
      </w:r>
      <w:r>
        <w:rPr>
          <w:rFonts w:hint="eastAsia"/>
        </w:rPr>
        <w:t>到2025年，省和市“两化”融合贯标试点企业</w:t>
      </w:r>
      <w:r>
        <w:rPr>
          <w:rFonts w:hint="eastAsia"/>
          <w:lang w:val="en-US" w:eastAsia="zh-CN"/>
        </w:rPr>
        <w:t>数量</w:t>
      </w:r>
      <w:r>
        <w:rPr>
          <w:rFonts w:hint="eastAsia"/>
        </w:rPr>
        <w:t>达3家；数字化、自动化和智能化技术和设备，数字化研发设计工具</w:t>
      </w:r>
      <w:r>
        <w:rPr>
          <w:rFonts w:hint="eastAsia"/>
          <w:lang w:val="en-US" w:eastAsia="zh-CN"/>
        </w:rPr>
        <w:t>在</w:t>
      </w:r>
      <w:r>
        <w:rPr>
          <w:rFonts w:hint="eastAsia"/>
        </w:rPr>
        <w:t>重点行业工业企业</w:t>
      </w:r>
      <w:r>
        <w:rPr>
          <w:rFonts w:hint="eastAsia"/>
          <w:lang w:val="en-US" w:eastAsia="zh-CN"/>
        </w:rPr>
        <w:t>中的</w:t>
      </w:r>
      <w:r>
        <w:rPr>
          <w:rFonts w:hint="eastAsia"/>
        </w:rPr>
        <w:t>普及率达60</w:t>
      </w:r>
      <w:r>
        <w:t>%</w:t>
      </w:r>
      <w:r>
        <w:rPr>
          <w:rFonts w:hint="eastAsia"/>
        </w:rPr>
        <w:t>。</w:t>
      </w:r>
    </w:p>
    <w:p>
      <w:pPr>
        <w:bidi w:val="0"/>
        <w:rPr>
          <w:rFonts w:hint="eastAsia"/>
        </w:rPr>
      </w:pPr>
      <w:r>
        <w:rPr>
          <w:b/>
          <w:bCs/>
        </w:rPr>
        <w:t>——</w:t>
      </w:r>
      <w:r>
        <w:rPr>
          <w:rFonts w:hint="eastAsia"/>
          <w:b/>
          <w:bCs/>
        </w:rPr>
        <w:t>绿色发展取得新成功。</w:t>
      </w:r>
      <w:r>
        <w:rPr>
          <w:rFonts w:hint="eastAsia"/>
        </w:rPr>
        <w:t>以高科技为支撑和带动，通过升级改造传统工业，鼓励使用绿色低碳能源，提高资源利用效率，淘汰落后设备工艺，从源头减少污染物产生；充分发挥试点带动作用，创建省级循环化改造试点园区。到</w:t>
      </w:r>
      <w:r>
        <w:t>202</w:t>
      </w:r>
      <w:r>
        <w:rPr>
          <w:rFonts w:hint="eastAsia"/>
        </w:rPr>
        <w:t>5年，全县的危险废物无害化处置率达到95</w:t>
      </w:r>
      <w:r>
        <w:t>%</w:t>
      </w:r>
      <w:r>
        <w:rPr>
          <w:rFonts w:hint="eastAsia"/>
        </w:rPr>
        <w:t>。</w:t>
      </w:r>
    </w:p>
    <w:p>
      <w:pPr>
        <w:pStyle w:val="30"/>
        <w:numPr>
          <w:ilvl w:val="0"/>
          <w:numId w:val="1"/>
        </w:numPr>
        <w:spacing w:before="156" w:beforeLines="50" w:after="156" w:afterLines="50"/>
        <w:ind w:left="1061" w:firstLineChars="0"/>
        <w:outlineLvl w:val="0"/>
        <w:rPr>
          <w:rFonts w:ascii="黑体" w:hAnsi="黑体" w:eastAsia="黑体"/>
          <w:sz w:val="32"/>
          <w:szCs w:val="32"/>
        </w:rPr>
      </w:pPr>
      <w:bookmarkStart w:id="24" w:name="_Toc43806275"/>
      <w:bookmarkStart w:id="25" w:name="_Toc45901436"/>
      <w:bookmarkStart w:id="26" w:name="_Toc5112"/>
      <w:r>
        <w:rPr>
          <w:rFonts w:hint="eastAsia" w:ascii="黑体" w:hAnsi="黑体" w:eastAsia="黑体"/>
          <w:sz w:val="32"/>
          <w:szCs w:val="32"/>
        </w:rPr>
        <w:t>发展重点</w:t>
      </w:r>
      <w:bookmarkEnd w:id="24"/>
      <w:bookmarkEnd w:id="25"/>
      <w:bookmarkEnd w:id="26"/>
    </w:p>
    <w:p>
      <w:pPr>
        <w:pStyle w:val="30"/>
        <w:numPr>
          <w:ilvl w:val="0"/>
          <w:numId w:val="5"/>
        </w:numPr>
        <w:spacing w:before="156" w:beforeLines="50" w:after="156" w:afterLines="50"/>
        <w:ind w:firstLineChars="0"/>
        <w:outlineLvl w:val="1"/>
        <w:rPr>
          <w:rFonts w:ascii="楷体" w:hAnsi="楷体" w:eastAsia="楷体"/>
          <w:b/>
          <w:bCs/>
          <w:sz w:val="32"/>
          <w:szCs w:val="32"/>
        </w:rPr>
      </w:pPr>
      <w:bookmarkStart w:id="27" w:name="_Toc20805"/>
      <w:bookmarkStart w:id="28" w:name="_Toc43806277"/>
      <w:bookmarkStart w:id="29" w:name="_Toc45901437"/>
      <w:bookmarkStart w:id="30" w:name="_Toc43806276"/>
      <w:r>
        <w:rPr>
          <w:rFonts w:hint="eastAsia" w:ascii="楷体" w:hAnsi="楷体" w:eastAsia="楷体"/>
          <w:b/>
          <w:bCs/>
          <w:sz w:val="32"/>
          <w:szCs w:val="32"/>
        </w:rPr>
        <w:t>优化升级传统优势产业</w:t>
      </w:r>
      <w:bookmarkEnd w:id="27"/>
      <w:bookmarkEnd w:id="28"/>
      <w:bookmarkEnd w:id="29"/>
    </w:p>
    <w:p>
      <w:pPr>
        <w:pStyle w:val="30"/>
        <w:numPr>
          <w:ilvl w:val="0"/>
          <w:numId w:val="6"/>
        </w:numPr>
        <w:ind w:firstLineChars="0"/>
        <w:outlineLvl w:val="2"/>
        <w:rPr>
          <w:rFonts w:ascii="仿宋" w:hAnsi="仿宋" w:eastAsia="仿宋"/>
          <w:b/>
          <w:bCs/>
          <w:sz w:val="32"/>
          <w:szCs w:val="32"/>
        </w:rPr>
      </w:pPr>
      <w:bookmarkStart w:id="31" w:name="_Toc17197"/>
      <w:bookmarkStart w:id="32" w:name="_Toc45901438"/>
      <w:r>
        <w:rPr>
          <w:rFonts w:hint="eastAsia" w:ascii="仿宋" w:hAnsi="仿宋" w:eastAsia="仿宋"/>
          <w:b/>
          <w:bCs/>
          <w:sz w:val="32"/>
          <w:szCs w:val="32"/>
        </w:rPr>
        <w:t>新型建材产业</w:t>
      </w:r>
      <w:bookmarkEnd w:id="31"/>
      <w:bookmarkEnd w:id="32"/>
    </w:p>
    <w:p>
      <w:pPr>
        <w:bidi w:val="0"/>
      </w:pPr>
      <w:r>
        <w:rPr>
          <w:rFonts w:hint="eastAsia"/>
        </w:rPr>
        <w:t>深入推进建材产业供给侧结构性改革，经济效益明显提升，产业结构逐步优化；依托华夏建陶园打造新型建材生产园，并在周边建设绿色建材区，并配套相关的物流及仓储服务；推进工业化和信息化、建筑业和建材业融合发展，满足现代建筑业对新型建筑材料的市场需求；在稳产、增效、提质的基础上，加大传统建材产业的研发人员及资金投入，加快推进鸿丰水泥、金丰达陶瓷、特伦特新型材料公司等县域内主导企业的技术升级改造</w:t>
      </w:r>
      <w:r>
        <w:rPr>
          <w:rFonts w:hint="eastAsia"/>
          <w:lang w:eastAsia="zh-CN"/>
        </w:rPr>
        <w:t>。</w:t>
      </w:r>
      <w:r>
        <w:rPr>
          <w:rFonts w:hint="eastAsia"/>
        </w:rPr>
        <w:t>以科技创新为支撑，推进绿色发展，全面提升产业可持续发展能力和整体竞争力。</w:t>
      </w:r>
    </w:p>
    <w:p>
      <w:pPr>
        <w:pStyle w:val="30"/>
        <w:numPr>
          <w:ilvl w:val="0"/>
          <w:numId w:val="6"/>
        </w:numPr>
        <w:ind w:firstLineChars="0"/>
        <w:outlineLvl w:val="2"/>
        <w:rPr>
          <w:rFonts w:ascii="仿宋" w:hAnsi="仿宋" w:eastAsia="仿宋"/>
          <w:b/>
          <w:bCs/>
          <w:sz w:val="32"/>
          <w:szCs w:val="32"/>
        </w:rPr>
      </w:pPr>
      <w:bookmarkStart w:id="33" w:name="_Toc23614"/>
      <w:r>
        <w:rPr>
          <w:rFonts w:hint="eastAsia" w:ascii="仿宋" w:hAnsi="仿宋" w:eastAsia="仿宋"/>
          <w:b/>
          <w:bCs/>
          <w:sz w:val="32"/>
          <w:szCs w:val="32"/>
        </w:rPr>
        <w:t>绿色化工产业</w:t>
      </w:r>
      <w:bookmarkEnd w:id="33"/>
    </w:p>
    <w:p>
      <w:pPr>
        <w:keepNext w:val="0"/>
        <w:keepLines w:val="0"/>
        <w:pageBreakBefore w:val="0"/>
        <w:widowControl w:val="0"/>
        <w:kinsoku/>
        <w:wordWrap/>
        <w:overflowPunct/>
        <w:topLinePunct w:val="0"/>
        <w:autoSpaceDE/>
        <w:autoSpaceDN/>
        <w:bidi w:val="0"/>
        <w:adjustRightInd/>
        <w:snapToGrid/>
        <w:spacing w:after="157" w:afterLines="50"/>
        <w:textAlignment w:val="auto"/>
      </w:pPr>
      <w:r>
        <w:rPr>
          <w:rFonts w:hint="eastAsia"/>
          <w:b/>
          <w:bCs/>
        </w:rPr>
        <w:t>一是严格控制新增产能。</w:t>
      </w:r>
      <w:r>
        <w:rPr>
          <w:rFonts w:hint="eastAsia"/>
        </w:rPr>
        <w:t>全面强化安全环保措施，积极提高企业运行能效，降低水耗和“三废”排放水平，加快涂料化工存量产能的优化调整。支持化工原料联产和产品高端化发展模式，鼓励采用先进技术和节能环保技术对化工企业进行改造升级，促进原料供应优化升级。</w:t>
      </w:r>
      <w:r>
        <w:rPr>
          <w:rFonts w:hint="eastAsia"/>
          <w:b/>
          <w:bCs/>
        </w:rPr>
        <w:t>二是发展优势产品。</w:t>
      </w:r>
      <w:r>
        <w:rPr>
          <w:rFonts w:hint="eastAsia"/>
        </w:rPr>
        <w:t>集中优势力量壮大一批特色精细化工企业，打造行业单项冠军。鼓励中华制漆、杰力电工、新丰博兴聚合材料、邦弗特化工等企业积极研发新型产品，做大环保涂料生产基地。</w:t>
      </w:r>
      <w:r>
        <w:rPr>
          <w:rFonts w:hint="eastAsia"/>
          <w:b/>
          <w:bCs/>
        </w:rPr>
        <w:t>三是提高服务功能。</w:t>
      </w:r>
      <w:r>
        <w:rPr>
          <w:rFonts w:hint="eastAsia"/>
        </w:rPr>
        <w:t>深度对接下游细分需求市场，立足轮胎、家居、汽车、建筑等重点行业对涂料化工产品的新需求，进一步加大技术创新力度，优化提升产品结构，提高精细化工产业的针对性、适用性和实效性。</w:t>
      </w:r>
    </w:p>
    <w:tbl>
      <w:tblPr>
        <w:tblStyle w:val="1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840" w:type="dxa"/>
            <w:vAlign w:val="center"/>
          </w:tcPr>
          <w:p>
            <w:pPr>
              <w:pStyle w:val="13"/>
              <w:widowControl/>
              <w:shd w:val="clear" w:color="auto" w:fill="FFFFFF"/>
              <w:spacing w:after="150"/>
              <w:ind w:firstLine="420"/>
              <w:jc w:val="center"/>
              <w:rPr>
                <w:rFonts w:ascii="楷体" w:hAnsi="楷体" w:eastAsia="楷体"/>
                <w:b/>
                <w:bCs/>
                <w:szCs w:val="24"/>
              </w:rPr>
            </w:pPr>
            <w:bookmarkStart w:id="34" w:name="_Hlk45878600"/>
            <w:r>
              <w:rPr>
                <w:rFonts w:hint="eastAsia" w:ascii="楷体" w:hAnsi="楷体" w:eastAsia="楷体"/>
                <w:b/>
                <w:bCs/>
                <w:sz w:val="28"/>
                <w:szCs w:val="28"/>
              </w:rPr>
              <w:t>专栏</w:t>
            </w:r>
            <w:r>
              <w:rPr>
                <w:rFonts w:ascii="楷体" w:hAnsi="楷体" w:eastAsia="楷体"/>
                <w:b/>
                <w:bCs/>
                <w:sz w:val="28"/>
                <w:szCs w:val="28"/>
              </w:rPr>
              <w:t xml:space="preserve"> </w:t>
            </w:r>
            <w:r>
              <w:rPr>
                <w:rFonts w:hint="eastAsia" w:ascii="楷体" w:hAnsi="楷体" w:eastAsia="楷体"/>
                <w:b/>
                <w:bCs/>
                <w:sz w:val="28"/>
                <w:szCs w:val="28"/>
                <w:lang w:val="en-US" w:eastAsia="zh-CN"/>
              </w:rPr>
              <w:t>1</w:t>
            </w:r>
            <w:r>
              <w:rPr>
                <w:rFonts w:ascii="楷体" w:hAnsi="楷体" w:eastAsia="楷体"/>
                <w:b/>
                <w:bCs/>
                <w:sz w:val="28"/>
                <w:szCs w:val="28"/>
              </w:rPr>
              <w:t xml:space="preserve"> </w:t>
            </w:r>
            <w:r>
              <w:rPr>
                <w:rFonts w:hint="eastAsia" w:ascii="楷体" w:hAnsi="楷体" w:eastAsia="楷体"/>
                <w:b/>
                <w:bCs/>
                <w:sz w:val="28"/>
                <w:szCs w:val="28"/>
              </w:rPr>
              <w:t>新丰县传统优势产业优化升级发展目标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jc w:val="center"/>
        </w:trPr>
        <w:tc>
          <w:tcPr>
            <w:tcW w:w="8840" w:type="dxa"/>
            <w:vAlign w:val="center"/>
          </w:tcPr>
          <w:p>
            <w:pPr>
              <w:pStyle w:val="13"/>
              <w:keepNext w:val="0"/>
              <w:keepLines w:val="0"/>
              <w:pageBreakBefore w:val="0"/>
              <w:widowControl/>
              <w:shd w:val="clear" w:color="auto" w:fill="FFFFFF"/>
              <w:kinsoku/>
              <w:wordWrap/>
              <w:overflowPunct/>
              <w:topLinePunct w:val="0"/>
              <w:autoSpaceDE/>
              <w:autoSpaceDN/>
              <w:bidi w:val="0"/>
              <w:adjustRightInd/>
              <w:snapToGrid/>
              <w:spacing w:after="150"/>
              <w:ind w:firstLine="0" w:firstLineChars="0"/>
              <w:jc w:val="both"/>
              <w:textAlignment w:val="auto"/>
              <w:rPr>
                <w:rFonts w:ascii="楷体" w:hAnsi="楷体" w:eastAsia="楷体"/>
                <w:szCs w:val="24"/>
              </w:rPr>
            </w:pPr>
            <w:r>
              <w:rPr>
                <w:rFonts w:hint="eastAsia" w:ascii="楷体" w:hAnsi="楷体" w:eastAsia="楷体" w:cs="楷体"/>
                <w:b/>
                <w:bCs/>
                <w:szCs w:val="24"/>
              </w:rPr>
              <w:t>新型建材产业：</w:t>
            </w:r>
            <w:r>
              <w:rPr>
                <w:rFonts w:hint="eastAsia" w:ascii="楷体" w:hAnsi="楷体" w:eastAsia="楷体"/>
                <w:szCs w:val="24"/>
              </w:rPr>
              <w:t>主要依托回龙园，建立一个以新型建材为主导的产业基地，企业主营业务年均增长率达到15%，加快构建“政产学研用”相结合的产业发展创新平台，鼓励企业加大研发投入，全力攻克关键核心技术。力争到2025年，规模以上建材企业R</w:t>
            </w:r>
            <w:r>
              <w:rPr>
                <w:rFonts w:ascii="楷体" w:hAnsi="楷体" w:eastAsia="楷体"/>
                <w:szCs w:val="24"/>
              </w:rPr>
              <w:t>&amp;D</w:t>
            </w:r>
            <w:r>
              <w:rPr>
                <w:rFonts w:hint="eastAsia" w:ascii="楷体" w:hAnsi="楷体" w:eastAsia="楷体"/>
                <w:szCs w:val="24"/>
              </w:rPr>
              <w:t>费用支出占主营业务收入的比重达到</w:t>
            </w:r>
            <w:r>
              <w:rPr>
                <w:rFonts w:ascii="楷体" w:hAnsi="楷体" w:eastAsia="楷体"/>
                <w:szCs w:val="24"/>
              </w:rPr>
              <w:t>1.5%</w:t>
            </w:r>
            <w:r>
              <w:rPr>
                <w:rFonts w:hint="eastAsia" w:ascii="楷体" w:hAnsi="楷体" w:eastAsia="楷体"/>
                <w:szCs w:val="24"/>
              </w:rPr>
              <w:t>，推动</w:t>
            </w:r>
            <w:r>
              <w:rPr>
                <w:rFonts w:ascii="楷体" w:hAnsi="楷体" w:eastAsia="楷体"/>
                <w:szCs w:val="24"/>
              </w:rPr>
              <w:t>规模以上建材企业关键装备实现数字化</w:t>
            </w:r>
            <w:r>
              <w:rPr>
                <w:rFonts w:hint="eastAsia" w:ascii="楷体" w:hAnsi="楷体" w:eastAsia="楷体"/>
                <w:szCs w:val="24"/>
              </w:rPr>
              <w:t>和</w:t>
            </w:r>
            <w:r>
              <w:rPr>
                <w:rFonts w:ascii="楷体" w:hAnsi="楷体" w:eastAsia="楷体"/>
                <w:szCs w:val="24"/>
              </w:rPr>
              <w:t>智能化。</w:t>
            </w:r>
          </w:p>
          <w:p>
            <w:pPr>
              <w:pStyle w:val="13"/>
              <w:keepNext w:val="0"/>
              <w:keepLines w:val="0"/>
              <w:pageBreakBefore w:val="0"/>
              <w:shd w:val="clear" w:color="auto" w:fill="FFFFFF"/>
              <w:kinsoku/>
              <w:wordWrap/>
              <w:overflowPunct/>
              <w:topLinePunct w:val="0"/>
              <w:autoSpaceDE/>
              <w:autoSpaceDN/>
              <w:bidi w:val="0"/>
              <w:adjustRightInd/>
              <w:snapToGrid/>
              <w:spacing w:after="150"/>
              <w:ind w:firstLine="0" w:firstLineChars="0"/>
              <w:jc w:val="both"/>
              <w:textAlignment w:val="auto"/>
              <w:rPr>
                <w:rFonts w:ascii="楷体" w:hAnsi="楷体" w:eastAsia="楷体"/>
                <w:szCs w:val="24"/>
              </w:rPr>
            </w:pPr>
            <w:r>
              <w:rPr>
                <w:rFonts w:hint="eastAsia" w:ascii="楷体" w:hAnsi="楷体" w:eastAsia="楷体" w:cs="楷体"/>
                <w:b/>
                <w:bCs/>
                <w:szCs w:val="24"/>
              </w:rPr>
              <w:t>绿色化工产业</w:t>
            </w:r>
            <w:r>
              <w:rPr>
                <w:rFonts w:hint="eastAsia" w:ascii="楷体" w:hAnsi="楷体" w:eastAsia="楷体" w:cs="楷体"/>
                <w:szCs w:val="24"/>
              </w:rPr>
              <w:t>：</w:t>
            </w:r>
            <w:r>
              <w:rPr>
                <w:rFonts w:hint="eastAsia" w:ascii="楷体" w:hAnsi="楷体" w:eastAsia="楷体"/>
                <w:szCs w:val="24"/>
              </w:rPr>
              <w:t>推广节能节水工艺，促进能源和水资源的循环利用；加大化工企业的环保设施投入力度，危险废物无害化处置率达到95%以上，对现有产品和工艺的技术改造率达到60</w:t>
            </w:r>
            <w:r>
              <w:rPr>
                <w:rFonts w:ascii="楷体" w:hAnsi="楷体" w:eastAsia="楷体"/>
                <w:szCs w:val="24"/>
              </w:rPr>
              <w:t>%</w:t>
            </w:r>
            <w:r>
              <w:rPr>
                <w:rFonts w:hint="eastAsia" w:ascii="楷体" w:hAnsi="楷体" w:eastAsia="楷体"/>
                <w:szCs w:val="24"/>
              </w:rPr>
              <w:t>；结合下游产品产业链，优化精细化工与化工新材料的完整产业链，形成产业集群；综合利用能耗、环保、质量、安全、技术等综合标准，推动化工企业的升级改造。</w:t>
            </w:r>
          </w:p>
        </w:tc>
      </w:tr>
      <w:bookmarkEnd w:id="34"/>
    </w:tbl>
    <w:p>
      <w:pPr>
        <w:pStyle w:val="30"/>
        <w:numPr>
          <w:ilvl w:val="0"/>
          <w:numId w:val="5"/>
        </w:numPr>
        <w:spacing w:before="156" w:beforeLines="50" w:after="156" w:afterLines="50"/>
        <w:ind w:left="1061" w:firstLineChars="0"/>
        <w:outlineLvl w:val="1"/>
        <w:rPr>
          <w:rFonts w:ascii="楷体" w:hAnsi="楷体" w:eastAsia="楷体"/>
          <w:b/>
          <w:bCs/>
          <w:sz w:val="32"/>
          <w:szCs w:val="32"/>
        </w:rPr>
      </w:pPr>
      <w:bookmarkStart w:id="35" w:name="_Toc45901440"/>
      <w:bookmarkStart w:id="36" w:name="_Toc16417"/>
      <w:r>
        <w:rPr>
          <w:rFonts w:hint="eastAsia" w:ascii="楷体" w:hAnsi="楷体" w:eastAsia="楷体"/>
          <w:b/>
          <w:bCs/>
          <w:sz w:val="32"/>
          <w:szCs w:val="32"/>
        </w:rPr>
        <w:t>大力发展战略性新兴产业</w:t>
      </w:r>
      <w:bookmarkEnd w:id="30"/>
      <w:bookmarkEnd w:id="35"/>
      <w:bookmarkEnd w:id="36"/>
    </w:p>
    <w:p>
      <w:pPr>
        <w:pStyle w:val="30"/>
        <w:numPr>
          <w:ilvl w:val="0"/>
          <w:numId w:val="7"/>
        </w:numPr>
        <w:ind w:firstLineChars="0"/>
        <w:outlineLvl w:val="2"/>
        <w:rPr>
          <w:rFonts w:ascii="仿宋" w:hAnsi="仿宋" w:eastAsia="仿宋"/>
          <w:b/>
          <w:bCs/>
          <w:sz w:val="32"/>
          <w:szCs w:val="32"/>
        </w:rPr>
      </w:pPr>
      <w:bookmarkStart w:id="37" w:name="_Toc21730"/>
      <w:bookmarkStart w:id="38" w:name="_Toc45901441"/>
      <w:r>
        <w:rPr>
          <w:rFonts w:hint="eastAsia" w:ascii="仿宋" w:hAnsi="仿宋" w:eastAsia="仿宋"/>
          <w:b/>
          <w:bCs/>
          <w:sz w:val="32"/>
          <w:szCs w:val="32"/>
        </w:rPr>
        <w:t>新能源产业</w:t>
      </w:r>
      <w:bookmarkEnd w:id="37"/>
      <w:bookmarkEnd w:id="38"/>
    </w:p>
    <w:p>
      <w:pPr>
        <w:bidi w:val="0"/>
      </w:pPr>
      <w:r>
        <w:rPr>
          <w:rFonts w:hint="eastAsia"/>
        </w:rPr>
        <w:t>重点发展风电、生物质能等新能源，制定新能源利用计划。落实广汽新能源网联汽车测试场项目，促进华润风力发电二、三期项目、韶能生物质发电</w:t>
      </w:r>
      <w:r>
        <w:rPr>
          <w:rFonts w:hint="eastAsia"/>
          <w:lang w:eastAsia="zh-CN"/>
        </w:rPr>
        <w:t>三</w:t>
      </w:r>
      <w:r>
        <w:rPr>
          <w:rFonts w:hint="eastAsia"/>
        </w:rPr>
        <w:t>、</w:t>
      </w:r>
      <w:r>
        <w:rPr>
          <w:rFonts w:hint="eastAsia"/>
          <w:lang w:eastAsia="zh-CN"/>
        </w:rPr>
        <w:t>四</w:t>
      </w:r>
      <w:r>
        <w:rPr>
          <w:rFonts w:hint="eastAsia"/>
        </w:rPr>
        <w:t>期项目建成投产；加快清洁能源开发，抓好中电投风力发电、中能建风力发电等项目的推进建设；建设产业资源配置平台，发挥示范工程效应，重点发展新能源汽车、动力电池、储能材料、储能装备等产品。推动互联网、信息技术在电力、生物质能等领域的应用</w:t>
      </w:r>
      <w:r>
        <w:rPr>
          <w:rFonts w:hint="eastAsia"/>
          <w:lang w:eastAsia="zh-CN"/>
        </w:rPr>
        <w:t>。</w:t>
      </w:r>
    </w:p>
    <w:p>
      <w:pPr>
        <w:pStyle w:val="30"/>
        <w:numPr>
          <w:ilvl w:val="0"/>
          <w:numId w:val="7"/>
        </w:numPr>
        <w:ind w:firstLineChars="0"/>
        <w:outlineLvl w:val="2"/>
        <w:rPr>
          <w:rFonts w:ascii="仿宋" w:hAnsi="仿宋" w:eastAsia="仿宋"/>
          <w:b/>
          <w:bCs/>
          <w:sz w:val="32"/>
          <w:szCs w:val="32"/>
        </w:rPr>
      </w:pPr>
      <w:bookmarkStart w:id="39" w:name="_Toc45901442"/>
      <w:bookmarkStart w:id="40" w:name="_Toc11348"/>
      <w:r>
        <w:rPr>
          <w:rFonts w:hint="eastAsia" w:ascii="仿宋" w:hAnsi="仿宋" w:eastAsia="仿宋"/>
          <w:b/>
          <w:bCs/>
          <w:sz w:val="32"/>
          <w:szCs w:val="32"/>
        </w:rPr>
        <w:t>稀土新材料</w:t>
      </w:r>
      <w:bookmarkEnd w:id="39"/>
      <w:r>
        <w:rPr>
          <w:rFonts w:hint="eastAsia" w:ascii="仿宋" w:hAnsi="仿宋" w:eastAsia="仿宋"/>
          <w:b/>
          <w:bCs/>
          <w:sz w:val="32"/>
          <w:szCs w:val="32"/>
        </w:rPr>
        <w:t>产业</w:t>
      </w:r>
      <w:bookmarkEnd w:id="40"/>
    </w:p>
    <w:p>
      <w:pPr>
        <w:rPr>
          <w:rFonts w:ascii="仿宋" w:hAnsi="仿宋" w:eastAsia="仿宋"/>
          <w:sz w:val="32"/>
          <w:szCs w:val="32"/>
        </w:rPr>
      </w:pPr>
      <w:r>
        <w:rPr>
          <w:rFonts w:ascii="仿宋" w:hAnsi="仿宋" w:eastAsia="仿宋"/>
          <w:sz w:val="32"/>
          <w:szCs w:val="32"/>
        </w:rPr>
        <w:t>以丰富的稀土资源为突破口，大力发展新材料特色工业。</w:t>
      </w:r>
      <w:r>
        <w:rPr>
          <w:rFonts w:hint="eastAsia" w:ascii="仿宋" w:hAnsi="仿宋" w:eastAsia="仿宋"/>
          <w:sz w:val="32"/>
          <w:szCs w:val="32"/>
        </w:rPr>
        <w:t>着力推动稀土高效分离，实现稀土的绿色提取，拓展稀土绿色应用；推进产业链延伸，重点发展高性能碳纤维、芳纶纤维等复合材料，高性能永磁、高效发光、高端催化等稀土功能材料，高性能陶瓷材料以及宽禁带半导体材料。加快稀土特色产业园区规划建设，主动对接国家和广东省稀土产业发展规划，争取列入重点稀土规划区和稀土加工基地；大力引进稀土深加工下游产业，争取成为全省重要的新材料产业集聚地。</w:t>
      </w:r>
    </w:p>
    <w:p>
      <w:pPr>
        <w:pStyle w:val="30"/>
        <w:numPr>
          <w:ilvl w:val="0"/>
          <w:numId w:val="7"/>
        </w:numPr>
        <w:ind w:firstLineChars="0"/>
        <w:outlineLvl w:val="2"/>
        <w:rPr>
          <w:rFonts w:ascii="仿宋" w:hAnsi="仿宋" w:eastAsia="仿宋"/>
          <w:b/>
          <w:bCs/>
          <w:sz w:val="32"/>
          <w:szCs w:val="32"/>
        </w:rPr>
      </w:pPr>
      <w:bookmarkStart w:id="41" w:name="_Toc45901443"/>
      <w:bookmarkStart w:id="42" w:name="_Toc8206"/>
      <w:r>
        <w:rPr>
          <w:rFonts w:hint="eastAsia" w:ascii="仿宋" w:hAnsi="仿宋" w:eastAsia="仿宋"/>
          <w:b/>
          <w:bCs/>
          <w:sz w:val="32"/>
          <w:szCs w:val="32"/>
        </w:rPr>
        <w:t>先进装备制造</w:t>
      </w:r>
      <w:bookmarkEnd w:id="41"/>
      <w:r>
        <w:rPr>
          <w:rFonts w:hint="eastAsia" w:ascii="仿宋" w:hAnsi="仿宋" w:eastAsia="仿宋"/>
          <w:b/>
          <w:bCs/>
          <w:sz w:val="32"/>
          <w:szCs w:val="32"/>
        </w:rPr>
        <w:t>业</w:t>
      </w:r>
      <w:bookmarkEnd w:id="42"/>
    </w:p>
    <w:p>
      <w:pPr>
        <w:bidi w:val="0"/>
      </w:pPr>
      <w:r>
        <w:t>大力引进国内外先进装备制造优势企业，</w:t>
      </w:r>
      <w:r>
        <w:rPr>
          <w:rFonts w:hint="eastAsia"/>
        </w:rPr>
        <w:t>强化整机以及</w:t>
      </w:r>
      <w:r>
        <w:t>成套设备</w:t>
      </w:r>
      <w:r>
        <w:rPr>
          <w:rFonts w:hint="eastAsia"/>
        </w:rPr>
        <w:t>的</w:t>
      </w:r>
      <w:r>
        <w:t>生产</w:t>
      </w:r>
      <w:r>
        <w:rPr>
          <w:rFonts w:hint="eastAsia"/>
        </w:rPr>
        <w:t>能力</w:t>
      </w:r>
      <w:r>
        <w:t>，</w:t>
      </w:r>
      <w:r>
        <w:rPr>
          <w:rFonts w:hint="eastAsia"/>
        </w:rPr>
        <w:t>不断提高重大技术装备创新水平，加快推进重大技术装备和节能环保装备的推广应用；</w:t>
      </w:r>
      <w:r>
        <w:t>加大研发投入，加强核心关键技术攻关，提高企业的产品自主研发能力</w:t>
      </w:r>
      <w:r>
        <w:rPr>
          <w:rFonts w:hint="eastAsia"/>
        </w:rPr>
        <w:t>，促进县域内传统优势产品继续巩固提升；</w:t>
      </w:r>
      <w:r>
        <w:t>加强与珠三角企业开展产业合作，深度融入珠江东岸先进装备制造产业分工体系。</w:t>
      </w:r>
    </w:p>
    <w:p>
      <w:pPr>
        <w:pStyle w:val="30"/>
        <w:numPr>
          <w:ilvl w:val="0"/>
          <w:numId w:val="7"/>
        </w:numPr>
        <w:ind w:firstLineChars="0"/>
        <w:outlineLvl w:val="2"/>
        <w:rPr>
          <w:rFonts w:ascii="仿宋" w:hAnsi="仿宋" w:eastAsia="仿宋"/>
          <w:b/>
          <w:bCs/>
          <w:sz w:val="32"/>
          <w:szCs w:val="32"/>
        </w:rPr>
      </w:pPr>
      <w:bookmarkStart w:id="43" w:name="_Toc45901444"/>
      <w:bookmarkStart w:id="44" w:name="_Toc25885"/>
      <w:r>
        <w:rPr>
          <w:rFonts w:hint="eastAsia" w:ascii="仿宋" w:hAnsi="仿宋" w:eastAsia="仿宋"/>
          <w:b/>
          <w:bCs/>
          <w:sz w:val="32"/>
          <w:szCs w:val="32"/>
        </w:rPr>
        <w:t>新一代信息技术</w:t>
      </w:r>
      <w:bookmarkEnd w:id="43"/>
      <w:r>
        <w:rPr>
          <w:rFonts w:hint="eastAsia" w:ascii="仿宋" w:hAnsi="仿宋" w:eastAsia="仿宋"/>
          <w:b/>
          <w:bCs/>
          <w:sz w:val="32"/>
          <w:szCs w:val="32"/>
        </w:rPr>
        <w:t>产业</w:t>
      </w:r>
      <w:bookmarkEnd w:id="44"/>
    </w:p>
    <w:p>
      <w:pPr>
        <w:keepNext w:val="0"/>
        <w:keepLines w:val="0"/>
        <w:pageBreakBefore w:val="0"/>
        <w:widowControl w:val="0"/>
        <w:kinsoku/>
        <w:wordWrap/>
        <w:overflowPunct/>
        <w:topLinePunct w:val="0"/>
        <w:autoSpaceDE/>
        <w:autoSpaceDN/>
        <w:bidi w:val="0"/>
        <w:adjustRightInd/>
        <w:snapToGrid/>
        <w:spacing w:after="157" w:afterLines="50"/>
        <w:textAlignment w:val="auto"/>
      </w:pPr>
      <w:r>
        <w:rPr>
          <w:rFonts w:hint="eastAsia"/>
        </w:rPr>
        <w:t>加快引进、培育新一代信息技术企业；以“云+农业”、“云+政务”、“云+金融”“云+互联网+智慧应用”的形式，加强新一代信息技术在农业、金融以及政务服务等方面的应用。立足于数字产业化、产业数字化以及跨界融合化，围绕建设5G引领的智能网络基础设施，加快数字经济布局；打造以智能科技、网络安全、大数据、区块链、5G移动通信等为代表的新兴产业集群。</w:t>
      </w:r>
    </w:p>
    <w:tbl>
      <w:tblPr>
        <w:tblStyle w:val="1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40" w:type="dxa"/>
            <w:vAlign w:val="center"/>
          </w:tcPr>
          <w:p>
            <w:pPr>
              <w:pStyle w:val="13"/>
              <w:widowControl/>
              <w:shd w:val="clear" w:color="auto" w:fill="FFFFFF"/>
              <w:spacing w:after="150"/>
              <w:ind w:firstLine="420"/>
              <w:jc w:val="center"/>
              <w:rPr>
                <w:rFonts w:ascii="楷体" w:hAnsi="楷体" w:eastAsia="楷体" w:cs="楷体"/>
                <w:b/>
                <w:bCs/>
                <w:sz w:val="28"/>
                <w:szCs w:val="28"/>
              </w:rPr>
            </w:pPr>
            <w:r>
              <w:rPr>
                <w:rFonts w:hint="eastAsia" w:ascii="楷体" w:hAnsi="楷体" w:eastAsia="楷体" w:cs="楷体"/>
                <w:b/>
                <w:bCs/>
                <w:color w:val="000000"/>
                <w:sz w:val="28"/>
                <w:szCs w:val="28"/>
              </w:rPr>
              <w:t xml:space="preserve">专栏 </w:t>
            </w:r>
            <w:r>
              <w:rPr>
                <w:rFonts w:hint="eastAsia" w:ascii="楷体" w:hAnsi="楷体" w:eastAsia="楷体" w:cs="楷体"/>
                <w:b/>
                <w:bCs/>
                <w:color w:val="000000"/>
                <w:sz w:val="28"/>
                <w:szCs w:val="28"/>
                <w:lang w:val="en-US" w:eastAsia="zh-CN"/>
              </w:rPr>
              <w:t>2</w:t>
            </w:r>
            <w:r>
              <w:rPr>
                <w:rFonts w:hint="eastAsia" w:ascii="楷体" w:hAnsi="楷体" w:eastAsia="楷体" w:cs="楷体"/>
                <w:b/>
                <w:bCs/>
                <w:color w:val="000000"/>
                <w:sz w:val="28"/>
                <w:szCs w:val="28"/>
              </w:rPr>
              <w:t xml:space="preserve"> 新丰县战略性新兴产业发展目标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1" w:hRule="atLeast"/>
          <w:jc w:val="center"/>
        </w:trPr>
        <w:tc>
          <w:tcPr>
            <w:tcW w:w="9040" w:type="dxa"/>
            <w:vAlign w:val="center"/>
          </w:tcPr>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150"/>
              <w:ind w:firstLine="0" w:firstLineChars="0"/>
              <w:jc w:val="both"/>
              <w:textAlignment w:val="auto"/>
              <w:rPr>
                <w:rFonts w:ascii="楷体" w:hAnsi="楷体" w:eastAsia="楷体" w:cs="楷体"/>
                <w:szCs w:val="24"/>
              </w:rPr>
            </w:pPr>
            <w:r>
              <w:rPr>
                <w:rFonts w:hint="eastAsia" w:ascii="楷体" w:hAnsi="楷体" w:eastAsia="楷体" w:cs="楷体"/>
                <w:b/>
                <w:bCs/>
                <w:szCs w:val="24"/>
              </w:rPr>
              <w:t>新能源产业：</w:t>
            </w:r>
            <w:r>
              <w:rPr>
                <w:rFonts w:hint="eastAsia" w:ascii="楷体" w:hAnsi="楷体" w:eastAsia="楷体" w:cs="楷体"/>
                <w:szCs w:val="24"/>
              </w:rPr>
              <w:t>华润风力发电、中电投风力发电以及中能建风力发电等项目建成并投产。广汽测试中心设计年测试能力3000台次，将成为世界一流、国内领先的汽车整车检测中心；预计创造就业岗位5000余个，其中可为当地提供1000个以上的稳定就业岗位。2025年营业额预计达到</w:t>
            </w:r>
            <w:r>
              <w:rPr>
                <w:rFonts w:hint="eastAsia" w:ascii="楷体" w:hAnsi="楷体" w:eastAsia="楷体" w:cs="楷体"/>
                <w:szCs w:val="24"/>
                <w:highlight w:val="none"/>
              </w:rPr>
              <w:t>4亿元</w:t>
            </w:r>
            <w:r>
              <w:rPr>
                <w:rFonts w:hint="eastAsia" w:ascii="楷体" w:hAnsi="楷体" w:eastAsia="楷体" w:cs="楷体"/>
                <w:szCs w:val="24"/>
              </w:rPr>
              <w:t>（2023年2.5亿元），带动周边总收入达15-20亿元，结合周边产业预计可创税收3亿元；引进多家汽车零部件企业落户，形成新的增长极。</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150"/>
              <w:ind w:firstLine="0" w:firstLineChars="0"/>
              <w:jc w:val="both"/>
              <w:textAlignment w:val="auto"/>
              <w:rPr>
                <w:rFonts w:ascii="楷体" w:hAnsi="楷体" w:eastAsia="楷体" w:cs="楷体"/>
                <w:szCs w:val="24"/>
              </w:rPr>
            </w:pPr>
            <w:r>
              <w:rPr>
                <w:rFonts w:hint="eastAsia" w:ascii="楷体" w:hAnsi="楷体" w:eastAsia="楷体" w:cs="楷体"/>
                <w:b/>
                <w:bCs/>
                <w:szCs w:val="24"/>
              </w:rPr>
              <w:t>稀土新材料产业：</w:t>
            </w:r>
            <w:r>
              <w:rPr>
                <w:rFonts w:hint="eastAsia" w:ascii="楷体" w:hAnsi="楷体" w:eastAsia="楷体" w:cs="楷体"/>
                <w:szCs w:val="24"/>
              </w:rPr>
              <w:t>以回龙园总规划面积3000亩的特色产业园区为载体，依托中色南方（新丰）7000吨/年的稀土分离厂项目，引入磁性材料、发光材料及稀土合金、LED光源产业等生产、应用及关联配套产业；发挥院士专家工作站优势，成为华南地区乃至全国重要的离子型稀土生产、研发、应用和配送中心及稀土行业深加工、高新材料技术开发人才“硅谷”。</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150"/>
              <w:ind w:firstLine="0" w:firstLineChars="0"/>
              <w:jc w:val="both"/>
              <w:textAlignment w:val="auto"/>
              <w:rPr>
                <w:rFonts w:ascii="楷体" w:hAnsi="楷体" w:eastAsia="楷体" w:cs="楷体"/>
                <w:szCs w:val="24"/>
              </w:rPr>
            </w:pPr>
            <w:r>
              <w:rPr>
                <w:rFonts w:hint="eastAsia" w:ascii="楷体" w:hAnsi="楷体" w:eastAsia="楷体" w:cs="楷体"/>
                <w:b/>
                <w:bCs/>
                <w:szCs w:val="24"/>
              </w:rPr>
              <w:t>先进装备制造业：</w:t>
            </w:r>
            <w:r>
              <w:rPr>
                <w:rFonts w:hint="eastAsia" w:ascii="楷体" w:hAnsi="楷体" w:eastAsia="楷体" w:cs="楷体"/>
                <w:szCs w:val="24"/>
              </w:rPr>
              <w:t xml:space="preserve">进一步推进广兴牧业新丰生产基地在家禽家畜饲养、鸡蛋分级包装处理设备等设施的自动化和数字化升级，提升系统的智能化；推动增资扩产，争取到2025年打造成广东省乃至全国的畜牧设备自动化示范基地，增加新丰县出口创汇总额。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150"/>
              <w:ind w:firstLine="0" w:firstLineChars="0"/>
              <w:textAlignment w:val="auto"/>
              <w:rPr>
                <w:rFonts w:ascii="楷体" w:hAnsi="楷体" w:eastAsia="楷体" w:cs="楷体"/>
                <w:szCs w:val="24"/>
              </w:rPr>
            </w:pPr>
            <w:r>
              <w:rPr>
                <w:rFonts w:hint="eastAsia" w:ascii="楷体" w:hAnsi="楷体" w:eastAsia="楷体" w:cs="楷体"/>
                <w:b/>
                <w:bCs/>
                <w:szCs w:val="24"/>
              </w:rPr>
              <w:t>新一代信息技术产业：</w:t>
            </w:r>
            <w:r>
              <w:rPr>
                <w:rFonts w:hint="eastAsia" w:ascii="楷体" w:hAnsi="楷体" w:eastAsia="楷体" w:cs="楷体"/>
                <w:szCs w:val="24"/>
              </w:rPr>
              <w:t>对接大湾区，引进10家以上人工智能和5G移动通信领域的优势企业，加强与</w:t>
            </w:r>
            <w:r>
              <w:rPr>
                <w:rFonts w:hint="eastAsia" w:ascii="楷体" w:hAnsi="楷体" w:eastAsia="楷体" w:cs="楷体"/>
                <w:szCs w:val="24"/>
                <w:lang w:val="en-US" w:eastAsia="zh-CN"/>
              </w:rPr>
              <w:t>大</w:t>
            </w:r>
            <w:r>
              <w:rPr>
                <w:rFonts w:hint="eastAsia" w:ascii="楷体" w:hAnsi="楷体" w:eastAsia="楷体" w:cs="楷体"/>
                <w:szCs w:val="24"/>
              </w:rPr>
              <w:t>湾区的沟通交流，每年组织人员参与该行业领域技术论坛和产业峰会5场以上；引进10家以上人工智能及云服务企业，大范围布局5G网络，实现信息技术与县域内传统制造业的融合。</w:t>
            </w:r>
          </w:p>
        </w:tc>
      </w:tr>
    </w:tbl>
    <w:p>
      <w:pPr>
        <w:pStyle w:val="30"/>
        <w:numPr>
          <w:ilvl w:val="0"/>
          <w:numId w:val="5"/>
        </w:numPr>
        <w:spacing w:before="156" w:beforeLines="50" w:after="156" w:afterLines="50"/>
        <w:ind w:firstLineChars="0"/>
        <w:outlineLvl w:val="1"/>
        <w:rPr>
          <w:rFonts w:ascii="楷体" w:hAnsi="楷体" w:eastAsia="楷体"/>
          <w:b/>
          <w:bCs/>
          <w:sz w:val="32"/>
          <w:szCs w:val="32"/>
        </w:rPr>
      </w:pPr>
      <w:bookmarkStart w:id="45" w:name="_Toc43806278"/>
      <w:bookmarkStart w:id="46" w:name="_Toc45901445"/>
      <w:bookmarkStart w:id="47" w:name="_Toc18920"/>
      <w:r>
        <w:rPr>
          <w:rFonts w:hint="eastAsia" w:ascii="楷体" w:hAnsi="楷体" w:eastAsia="楷体"/>
          <w:b/>
          <w:bCs/>
          <w:sz w:val="32"/>
          <w:szCs w:val="32"/>
        </w:rPr>
        <w:t>积极培育生产性服务业</w:t>
      </w:r>
      <w:bookmarkEnd w:id="45"/>
      <w:bookmarkEnd w:id="46"/>
      <w:bookmarkEnd w:id="47"/>
    </w:p>
    <w:p>
      <w:pPr>
        <w:bidi w:val="0"/>
      </w:pPr>
      <w:r>
        <w:rPr>
          <w:rFonts w:hint="eastAsia"/>
        </w:rPr>
        <w:t>在大力发展战略性新兴产业、提升传统优势产业的同时，高度重视和培育发展与新丰工业融合互动的现代生产性服务业，尤其是助推制造业转型升级，具有较高科技含量的工业设计、电商物流、科技服务、节能环保服务等生产性服务产业，丰富和完善制造业价值链的高端环节。</w:t>
      </w:r>
    </w:p>
    <w:p>
      <w:pPr>
        <w:pStyle w:val="30"/>
        <w:numPr>
          <w:ilvl w:val="0"/>
          <w:numId w:val="8"/>
        </w:numPr>
        <w:ind w:left="0" w:firstLine="643"/>
        <w:outlineLvl w:val="2"/>
        <w:rPr>
          <w:rFonts w:ascii="仿宋" w:hAnsi="仿宋" w:eastAsia="仿宋"/>
          <w:sz w:val="32"/>
          <w:szCs w:val="32"/>
        </w:rPr>
      </w:pPr>
      <w:bookmarkStart w:id="48" w:name="_Toc43806280"/>
      <w:bookmarkStart w:id="49" w:name="_Toc45901446"/>
      <w:bookmarkStart w:id="50" w:name="_Toc399"/>
      <w:r>
        <w:rPr>
          <w:rFonts w:hint="eastAsia" w:ascii="仿宋" w:hAnsi="仿宋" w:eastAsia="仿宋"/>
          <w:b/>
          <w:bCs/>
          <w:sz w:val="32"/>
          <w:szCs w:val="32"/>
        </w:rPr>
        <w:t>工业设计</w:t>
      </w:r>
      <w:bookmarkEnd w:id="48"/>
      <w:bookmarkEnd w:id="49"/>
      <w:r>
        <w:rPr>
          <w:rFonts w:hint="eastAsia" w:ascii="仿宋" w:hAnsi="仿宋" w:eastAsia="仿宋"/>
          <w:b/>
          <w:bCs/>
          <w:sz w:val="32"/>
          <w:szCs w:val="32"/>
        </w:rPr>
        <w:t>服务</w:t>
      </w:r>
      <w:bookmarkEnd w:id="50"/>
    </w:p>
    <w:p>
      <w:pPr>
        <w:bidi w:val="0"/>
      </w:pPr>
      <w:r>
        <w:t>创新设计理念，加强新技术、新工艺</w:t>
      </w:r>
      <w:r>
        <w:rPr>
          <w:rFonts w:hint="eastAsia"/>
        </w:rPr>
        <w:t>以及</w:t>
      </w:r>
      <w:r>
        <w:t>新材料</w:t>
      </w:r>
      <w:r>
        <w:rPr>
          <w:rFonts w:hint="eastAsia"/>
        </w:rPr>
        <w:t>的</w:t>
      </w:r>
      <w:r>
        <w:t>应用，支持面向制造业设计需求，搭建网络化的设计协同平台，开展众创、众包、众设等模式的应用推广，提升工业设计服务水平。</w:t>
      </w:r>
      <w:r>
        <w:rPr>
          <w:rFonts w:hint="eastAsia"/>
        </w:rPr>
        <w:t>利用</w:t>
      </w:r>
      <w:r>
        <w:t>3D</w:t>
      </w:r>
      <w:r>
        <w:rPr>
          <w:rFonts w:hint="eastAsia"/>
        </w:rPr>
        <w:t>模型、</w:t>
      </w:r>
      <w:r>
        <w:t>CAID</w:t>
      </w:r>
      <w:r>
        <w:rPr>
          <w:rFonts w:hint="eastAsia"/>
        </w:rPr>
        <w:t>技术、</w:t>
      </w:r>
      <w:r>
        <w:t>CAD/CAE/CAM</w:t>
      </w:r>
      <w:r>
        <w:rPr>
          <w:rFonts w:hint="eastAsia"/>
        </w:rPr>
        <w:t>技术、人机交互及耦合技术、神经网络技术、虚拟仿真技术、感性意向设计技术等先进技术，提高传统工业产品的技术含量及市场价值，</w:t>
      </w:r>
      <w:r>
        <w:t>一方面将生产和技术转化为适合市场需求的产品，</w:t>
      </w:r>
      <w:r>
        <w:rPr>
          <w:rFonts w:hint="eastAsia"/>
        </w:rPr>
        <w:t>另</w:t>
      </w:r>
      <w:r>
        <w:t>一方面将市场信息反馈到企业促进企业的发展</w:t>
      </w:r>
      <w:r>
        <w:rPr>
          <w:rFonts w:hint="eastAsia"/>
        </w:rPr>
        <w:t>。</w:t>
      </w:r>
    </w:p>
    <w:p>
      <w:pPr>
        <w:pStyle w:val="30"/>
        <w:numPr>
          <w:ilvl w:val="0"/>
          <w:numId w:val="8"/>
        </w:numPr>
        <w:ind w:left="0" w:firstLine="643"/>
        <w:outlineLvl w:val="2"/>
        <w:rPr>
          <w:rFonts w:ascii="仿宋" w:hAnsi="仿宋" w:eastAsia="仿宋"/>
          <w:sz w:val="32"/>
          <w:szCs w:val="32"/>
        </w:rPr>
      </w:pPr>
      <w:bookmarkStart w:id="51" w:name="_Toc43806281"/>
      <w:bookmarkStart w:id="52" w:name="_Toc45901447"/>
      <w:bookmarkStart w:id="53" w:name="_Toc25265"/>
      <w:r>
        <w:rPr>
          <w:rFonts w:hint="eastAsia" w:ascii="仿宋" w:hAnsi="仿宋" w:eastAsia="仿宋"/>
          <w:b/>
          <w:bCs/>
          <w:sz w:val="32"/>
          <w:szCs w:val="32"/>
        </w:rPr>
        <w:t>电商物流</w:t>
      </w:r>
      <w:bookmarkEnd w:id="51"/>
      <w:bookmarkEnd w:id="52"/>
      <w:r>
        <w:rPr>
          <w:rFonts w:hint="eastAsia" w:ascii="仿宋" w:hAnsi="仿宋" w:eastAsia="仿宋"/>
          <w:b/>
          <w:bCs/>
          <w:sz w:val="32"/>
          <w:szCs w:val="32"/>
        </w:rPr>
        <w:t>服务</w:t>
      </w:r>
      <w:bookmarkEnd w:id="53"/>
    </w:p>
    <w:p>
      <w:pPr>
        <w:bidi w:val="0"/>
      </w:pPr>
      <w:r>
        <w:rPr>
          <w:rFonts w:hint="eastAsia"/>
        </w:rPr>
        <w:t>坚持以市场为主导，以现代信息技术为支撑，以调整结构、整合资源、强化基础为手段，以提高物流效率、降低物流成本为目的，在县级、镇级和村级布局物流中心和站点。</w:t>
      </w:r>
      <w:r>
        <w:t>大力发展“龙头企业+农户”和“电商+农户”两种模式，加快县级农产品电子商务平台建设</w:t>
      </w:r>
      <w:r>
        <w:rPr>
          <w:rFonts w:hint="eastAsia"/>
        </w:rPr>
        <w:t>；构建布局合理、配套完善、服务高效的现代物流产业体系，形成县域分工合理、重点突出的现代物流服务网络，推动物流业与支柱产业和区域经济联动发展。</w:t>
      </w:r>
    </w:p>
    <w:p>
      <w:pPr>
        <w:pStyle w:val="30"/>
        <w:numPr>
          <w:ilvl w:val="0"/>
          <w:numId w:val="8"/>
        </w:numPr>
        <w:ind w:left="0" w:firstLine="643"/>
        <w:outlineLvl w:val="2"/>
        <w:rPr>
          <w:rFonts w:ascii="仿宋" w:hAnsi="仿宋" w:eastAsia="仿宋"/>
          <w:sz w:val="32"/>
          <w:szCs w:val="32"/>
        </w:rPr>
      </w:pPr>
      <w:bookmarkStart w:id="54" w:name="_Toc45901448"/>
      <w:bookmarkStart w:id="55" w:name="_Toc43806282"/>
      <w:bookmarkStart w:id="56" w:name="_Toc14458"/>
      <w:r>
        <w:rPr>
          <w:rFonts w:hint="eastAsia" w:ascii="仿宋" w:hAnsi="仿宋" w:eastAsia="仿宋"/>
          <w:b/>
          <w:bCs/>
          <w:sz w:val="32"/>
          <w:szCs w:val="32"/>
        </w:rPr>
        <w:t>科技</w:t>
      </w:r>
      <w:bookmarkEnd w:id="54"/>
      <w:bookmarkEnd w:id="55"/>
      <w:r>
        <w:rPr>
          <w:rFonts w:hint="eastAsia" w:ascii="仿宋" w:hAnsi="仿宋" w:eastAsia="仿宋"/>
          <w:b/>
          <w:bCs/>
          <w:sz w:val="32"/>
          <w:szCs w:val="32"/>
        </w:rPr>
        <w:t>创新服务</w:t>
      </w:r>
      <w:bookmarkEnd w:id="56"/>
    </w:p>
    <w:p>
      <w:pPr>
        <w:bidi w:val="0"/>
      </w:pPr>
      <w:r>
        <w:rPr>
          <w:rFonts w:hint="eastAsia"/>
        </w:rPr>
        <w:t>围绕我县稀土高新材料产业、先进装备制造产业和新能源产业等主导产业，建立健全公共技术服务和技术成果转化服务体系。大力发展技术转移、科技咨询、专利代理等中介机构，构建服务网络，提高服务水平。加强技术服务创新，鼓励企业与高等院校、科研院所联合建设实验室、研发中心、技术联盟等创新组织，建立一批产学研联合研发机构和产业服务机构，加大产业服务平台，整合、集聚区域内外的创新资源。</w:t>
      </w:r>
    </w:p>
    <w:p>
      <w:pPr>
        <w:pStyle w:val="30"/>
        <w:numPr>
          <w:ilvl w:val="0"/>
          <w:numId w:val="8"/>
        </w:numPr>
        <w:ind w:left="0" w:firstLine="643"/>
        <w:outlineLvl w:val="2"/>
        <w:rPr>
          <w:rFonts w:ascii="仿宋" w:hAnsi="仿宋" w:eastAsia="仿宋"/>
          <w:sz w:val="32"/>
          <w:szCs w:val="32"/>
        </w:rPr>
      </w:pPr>
      <w:bookmarkStart w:id="57" w:name="_Toc43806283"/>
      <w:bookmarkStart w:id="58" w:name="_Toc45901449"/>
      <w:bookmarkStart w:id="59" w:name="_Toc22339"/>
      <w:r>
        <w:rPr>
          <w:rFonts w:hint="eastAsia" w:ascii="仿宋" w:hAnsi="仿宋" w:eastAsia="仿宋"/>
          <w:b/>
          <w:bCs/>
          <w:sz w:val="32"/>
          <w:szCs w:val="32"/>
        </w:rPr>
        <w:t>节能环保服务</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after="157" w:afterLines="50"/>
        <w:textAlignment w:val="auto"/>
      </w:pPr>
      <w:r>
        <w:t>逐步开展产品回收及再制造、再利用服务，节约资源、减少污染，实现可持续发展。推行合同能源管理，发展节能诊断、方案设计、节能系统建设运行等服务。继续发展专业化节能服务公司，鼓励有条件的制造业企业提供节能环保服务。引导制造业企业与专业环保治理公司合作，开展污染防治第三方治理、合同水资源管理等新型环保服务。</w:t>
      </w:r>
      <w:r>
        <w:rPr>
          <w:rFonts w:hint="eastAsia"/>
        </w:rPr>
        <w:t>加快发展生态环境修复、环境风险与损害评价、排污权交易、绿色认证、环境污染责任保险等新兴环保服务业。鼓励发展环保服务产业，将系统设计、设备成套、工程施工、调试运行、维护管理的环保服务对外总承包等经营模式，以专业化、社会化服务提高行业的发展。支持再制造服务产业，为工矿企业设备的高值易损部件提供个性化再制造服务，建立再制造旧件回收、产品营销、溯源等信息化管理系统，推动构建废弃物逆向物流交易平台。</w:t>
      </w:r>
    </w:p>
    <w:tbl>
      <w:tblPr>
        <w:tblStyle w:val="1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40" w:type="dxa"/>
            <w:vAlign w:val="center"/>
          </w:tcPr>
          <w:p>
            <w:pPr>
              <w:pStyle w:val="13"/>
              <w:widowControl/>
              <w:shd w:val="clear" w:color="auto" w:fill="FFFFFF"/>
              <w:spacing w:after="150"/>
              <w:ind w:firstLine="420"/>
              <w:jc w:val="center"/>
              <w:rPr>
                <w:rFonts w:ascii="楷体" w:hAnsi="楷体" w:eastAsia="楷体" w:cs="楷体"/>
                <w:b/>
                <w:bCs/>
                <w:sz w:val="28"/>
                <w:szCs w:val="28"/>
              </w:rPr>
            </w:pPr>
            <w:r>
              <w:rPr>
                <w:rFonts w:hint="eastAsia" w:ascii="楷体" w:hAnsi="楷体" w:eastAsia="楷体" w:cs="楷体"/>
                <w:b/>
                <w:bCs/>
                <w:sz w:val="28"/>
                <w:szCs w:val="28"/>
              </w:rPr>
              <w:t xml:space="preserve">专栏 </w:t>
            </w:r>
            <w:r>
              <w:rPr>
                <w:rFonts w:hint="eastAsia" w:ascii="楷体" w:hAnsi="楷体" w:eastAsia="楷体" w:cs="楷体"/>
                <w:b/>
                <w:bCs/>
                <w:sz w:val="28"/>
                <w:szCs w:val="28"/>
                <w:lang w:val="en-US" w:eastAsia="zh-CN"/>
              </w:rPr>
              <w:t>3</w:t>
            </w:r>
            <w:r>
              <w:rPr>
                <w:rFonts w:hint="eastAsia" w:ascii="楷体" w:hAnsi="楷体" w:eastAsia="楷体" w:cs="楷体"/>
                <w:b/>
                <w:bCs/>
                <w:sz w:val="28"/>
                <w:szCs w:val="28"/>
              </w:rPr>
              <w:t xml:space="preserve"> 新丰县生产性服务行业发展目标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9040" w:type="dxa"/>
            <w:vAlign w:val="center"/>
          </w:tcPr>
          <w:p>
            <w:pPr>
              <w:pStyle w:val="13"/>
              <w:keepNext w:val="0"/>
              <w:keepLines w:val="0"/>
              <w:pageBreakBefore w:val="0"/>
              <w:widowControl/>
              <w:shd w:val="clear" w:color="auto" w:fill="FFFFFF"/>
              <w:kinsoku/>
              <w:wordWrap/>
              <w:overflowPunct/>
              <w:topLinePunct w:val="0"/>
              <w:autoSpaceDE/>
              <w:autoSpaceDN/>
              <w:bidi w:val="0"/>
              <w:adjustRightInd/>
              <w:snapToGrid/>
              <w:spacing w:after="150"/>
              <w:ind w:firstLine="0" w:firstLineChars="0"/>
              <w:textAlignment w:val="auto"/>
              <w:rPr>
                <w:rFonts w:ascii="楷体" w:hAnsi="楷体" w:eastAsia="楷体" w:cs="楷体"/>
                <w:szCs w:val="24"/>
              </w:rPr>
            </w:pPr>
            <w:r>
              <w:rPr>
                <w:rFonts w:hint="eastAsia" w:ascii="楷体" w:hAnsi="楷体" w:eastAsia="楷体" w:cs="楷体"/>
                <w:b/>
                <w:bCs/>
                <w:szCs w:val="24"/>
              </w:rPr>
              <w:t>工业设计服务：</w:t>
            </w:r>
            <w:r>
              <w:rPr>
                <w:rFonts w:hint="eastAsia" w:ascii="楷体" w:hAnsi="楷体" w:eastAsia="楷体" w:cs="楷体"/>
                <w:szCs w:val="24"/>
              </w:rPr>
              <w:t>鼓励企业与周边省市的高校和科研院所共建设计创新成果转化服务平台3个，设计人才引进</w:t>
            </w:r>
            <w:r>
              <w:rPr>
                <w:rFonts w:hint="eastAsia" w:ascii="楷体" w:hAnsi="楷体" w:eastAsia="楷体" w:cs="楷体"/>
                <w:szCs w:val="24"/>
                <w:highlight w:val="none"/>
              </w:rPr>
              <w:t>50人</w:t>
            </w:r>
            <w:r>
              <w:rPr>
                <w:rFonts w:hint="eastAsia" w:ascii="楷体" w:hAnsi="楷体" w:eastAsia="楷体" w:cs="楷体"/>
                <w:szCs w:val="24"/>
              </w:rPr>
              <w:t>；定期组织举办工业设计论坛，每年组织2场工业设计交流活动，加快推进工业设计在重点行业企业的应用；</w:t>
            </w:r>
          </w:p>
          <w:p>
            <w:pPr>
              <w:pStyle w:val="13"/>
              <w:keepNext w:val="0"/>
              <w:keepLines w:val="0"/>
              <w:pageBreakBefore w:val="0"/>
              <w:widowControl/>
              <w:shd w:val="clear" w:color="auto" w:fill="FFFFFF"/>
              <w:kinsoku/>
              <w:wordWrap/>
              <w:overflowPunct/>
              <w:topLinePunct w:val="0"/>
              <w:autoSpaceDE/>
              <w:autoSpaceDN/>
              <w:bidi w:val="0"/>
              <w:adjustRightInd/>
              <w:snapToGrid/>
              <w:spacing w:after="150"/>
              <w:ind w:firstLine="0" w:firstLineChars="0"/>
              <w:textAlignment w:val="auto"/>
              <w:rPr>
                <w:rFonts w:ascii="楷体" w:hAnsi="楷体" w:eastAsia="楷体" w:cs="楷体"/>
                <w:szCs w:val="24"/>
              </w:rPr>
            </w:pPr>
            <w:r>
              <w:rPr>
                <w:rFonts w:hint="eastAsia" w:ascii="楷体" w:hAnsi="楷体" w:eastAsia="楷体" w:cs="楷体"/>
                <w:b/>
                <w:bCs/>
                <w:szCs w:val="24"/>
              </w:rPr>
              <w:t>电商物流服务：</w:t>
            </w:r>
            <w:r>
              <w:rPr>
                <w:rFonts w:hint="eastAsia" w:ascii="楷体" w:hAnsi="楷体" w:eastAsia="楷体" w:cs="楷体"/>
                <w:bCs/>
                <w:szCs w:val="24"/>
              </w:rPr>
              <w:t>实现规模以上工业企业和农业产业化企业电子商务普及应用率分别达到15%和30%；引入2-3家全国知名电商企业进驻，每家企业培育、引进不低于30名电商人才；</w:t>
            </w:r>
            <w:r>
              <w:rPr>
                <w:rFonts w:hint="eastAsia" w:ascii="楷体" w:hAnsi="楷体" w:eastAsia="楷体" w:cs="楷体"/>
                <w:szCs w:val="24"/>
              </w:rPr>
              <w:t>在县、镇、村级构建“1+6+100”的电商物流空间布局，</w:t>
            </w:r>
            <w:r>
              <w:rPr>
                <w:rFonts w:hint="eastAsia" w:ascii="楷体" w:hAnsi="楷体" w:eastAsia="楷体" w:cs="楷体"/>
                <w:bCs/>
                <w:szCs w:val="24"/>
              </w:rPr>
              <w:t>实现智能化、数字化的分拣处理以及仓储管理等功能。</w:t>
            </w:r>
          </w:p>
          <w:p>
            <w:pPr>
              <w:pStyle w:val="13"/>
              <w:keepNext w:val="0"/>
              <w:keepLines w:val="0"/>
              <w:pageBreakBefore w:val="0"/>
              <w:widowControl/>
              <w:shd w:val="clear" w:color="auto" w:fill="FFFFFF"/>
              <w:kinsoku/>
              <w:wordWrap/>
              <w:overflowPunct/>
              <w:topLinePunct w:val="0"/>
              <w:autoSpaceDE/>
              <w:autoSpaceDN/>
              <w:bidi w:val="0"/>
              <w:adjustRightInd/>
              <w:snapToGrid/>
              <w:spacing w:after="150"/>
              <w:ind w:firstLine="0" w:firstLineChars="0"/>
              <w:textAlignment w:val="auto"/>
              <w:rPr>
                <w:rFonts w:ascii="楷体" w:hAnsi="楷体" w:eastAsia="楷体" w:cs="楷体"/>
                <w:szCs w:val="24"/>
              </w:rPr>
            </w:pPr>
            <w:r>
              <w:rPr>
                <w:rFonts w:hint="eastAsia" w:ascii="楷体" w:hAnsi="楷体" w:eastAsia="楷体" w:cs="楷体"/>
                <w:b/>
                <w:bCs/>
                <w:szCs w:val="24"/>
              </w:rPr>
              <w:t>科技创新服务：</w:t>
            </w:r>
            <w:r>
              <w:rPr>
                <w:rFonts w:hint="eastAsia" w:ascii="楷体" w:hAnsi="楷体" w:eastAsia="楷体" w:cs="楷体"/>
                <w:szCs w:val="24"/>
              </w:rPr>
              <w:t>积极引进专业性技术人才，推动规上工业企业提高研发投入，加大知识产权产出；鼓励大型企业与周边城市高等院校共建联合实验室，开展关键核心技术研究及成果转化，鼓励企业与研究机构共同申报市级和省级重点专项；建立10家以上创新平台。</w:t>
            </w:r>
          </w:p>
          <w:p>
            <w:pPr>
              <w:pStyle w:val="13"/>
              <w:keepNext w:val="0"/>
              <w:keepLines w:val="0"/>
              <w:pageBreakBefore w:val="0"/>
              <w:widowControl/>
              <w:shd w:val="clear" w:color="auto" w:fill="FFFFFF"/>
              <w:kinsoku/>
              <w:wordWrap/>
              <w:overflowPunct/>
              <w:topLinePunct w:val="0"/>
              <w:autoSpaceDE/>
              <w:autoSpaceDN/>
              <w:bidi w:val="0"/>
              <w:adjustRightInd/>
              <w:snapToGrid/>
              <w:spacing w:after="150"/>
              <w:ind w:firstLine="0" w:firstLineChars="0"/>
              <w:textAlignment w:val="auto"/>
              <w:rPr>
                <w:rFonts w:ascii="楷体" w:hAnsi="楷体" w:eastAsia="楷体" w:cs="楷体"/>
                <w:szCs w:val="24"/>
              </w:rPr>
            </w:pPr>
            <w:r>
              <w:rPr>
                <w:rFonts w:hint="eastAsia" w:ascii="楷体" w:hAnsi="楷体" w:eastAsia="楷体" w:cs="楷体"/>
                <w:b/>
                <w:bCs/>
                <w:szCs w:val="24"/>
              </w:rPr>
              <w:t>节能环保服务：</w:t>
            </w:r>
            <w:r>
              <w:rPr>
                <w:rFonts w:hint="eastAsia" w:ascii="楷体" w:hAnsi="楷体" w:eastAsia="楷体" w:cs="楷体"/>
                <w:szCs w:val="24"/>
              </w:rPr>
              <w:t>培育3-5家专业化的节能服务公司，为制造业企业提供个性化的节能咨询及服务；建立环境检测以及环保性能认证机构</w:t>
            </w:r>
            <w:r>
              <w:rPr>
                <w:rFonts w:hint="eastAsia" w:ascii="楷体" w:hAnsi="楷体" w:eastAsia="楷体" w:cs="楷体"/>
                <w:szCs w:val="24"/>
                <w:highlight w:val="none"/>
              </w:rPr>
              <w:t>3家</w:t>
            </w:r>
            <w:r>
              <w:rPr>
                <w:rFonts w:hint="eastAsia" w:ascii="楷体" w:hAnsi="楷体" w:eastAsia="楷体" w:cs="楷体"/>
                <w:szCs w:val="24"/>
              </w:rPr>
              <w:t>，定期为环境风险较大的制造业企业提供专业的检测服务；鼓励第三方节能机构开发方便快捷的软件平台，促进废弃物合理回收利用。</w:t>
            </w:r>
          </w:p>
        </w:tc>
      </w:tr>
      <w:bookmarkEnd w:id="8"/>
    </w:tbl>
    <w:p>
      <w:pPr>
        <w:pStyle w:val="30"/>
        <w:numPr>
          <w:ilvl w:val="0"/>
          <w:numId w:val="1"/>
        </w:numPr>
        <w:spacing w:before="156" w:beforeLines="50" w:after="156" w:afterLines="50"/>
        <w:ind w:left="1061" w:firstLineChars="0"/>
        <w:outlineLvl w:val="0"/>
        <w:rPr>
          <w:rFonts w:ascii="黑体" w:hAnsi="黑体" w:eastAsia="黑体"/>
          <w:b/>
          <w:sz w:val="32"/>
          <w:szCs w:val="32"/>
        </w:rPr>
      </w:pPr>
      <w:bookmarkStart w:id="60" w:name="_Toc45889343"/>
      <w:bookmarkStart w:id="61" w:name="_Toc45901450"/>
      <w:bookmarkStart w:id="62" w:name="_Toc14191"/>
      <w:bookmarkStart w:id="63" w:name="_Toc49870934"/>
      <w:bookmarkStart w:id="64" w:name="_Toc43806284"/>
      <w:r>
        <w:rPr>
          <w:rFonts w:hint="eastAsia" w:ascii="黑体" w:hAnsi="黑体" w:eastAsia="黑体"/>
          <w:sz w:val="32"/>
          <w:szCs w:val="32"/>
        </w:rPr>
        <w:t>发展布局</w:t>
      </w:r>
      <w:bookmarkEnd w:id="60"/>
      <w:bookmarkEnd w:id="61"/>
      <w:bookmarkEnd w:id="62"/>
      <w:bookmarkEnd w:id="63"/>
      <w:bookmarkEnd w:id="64"/>
    </w:p>
    <w:p>
      <w:pPr>
        <w:bidi w:val="0"/>
      </w:pPr>
      <w:r>
        <w:rPr>
          <w:rFonts w:hint="eastAsia"/>
        </w:rPr>
        <w:t>围绕“融入湾区、服务双区，生态发展、富民强县”的整体战略部署，总体发展定位为环粤港澳大湾区高质量融合发展的排头兵，珠三角核心区产业重点转移区，粤中北经济节点，韶关南部工业生长极。以工业转型升级主攻方向，资源要素、空间统筹、规划利用为主线，立足产业发展基础，结合区域产业发展特色，着力完善“两轴四区七园”的空间布局。</w:t>
      </w:r>
    </w:p>
    <w:p>
      <w:pPr>
        <w:ind w:left="0" w:leftChars="0" w:firstLine="0" w:firstLineChars="0"/>
        <w:jc w:val="both"/>
        <w:rPr>
          <w:rFonts w:ascii="仿宋" w:hAnsi="仿宋" w:eastAsia="仿宋"/>
          <w:color w:val="000000"/>
          <w:sz w:val="32"/>
          <w:szCs w:val="32"/>
        </w:rPr>
      </w:pPr>
      <w:r>
        <w:drawing>
          <wp:inline distT="0" distB="0" distL="114300" distR="114300">
            <wp:extent cx="5267325" cy="3636645"/>
            <wp:effectExtent l="0" t="0" r="9525"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267325" cy="3636645"/>
                    </a:xfrm>
                    <a:prstGeom prst="rect">
                      <a:avLst/>
                    </a:prstGeom>
                    <a:noFill/>
                    <a:ln>
                      <a:noFill/>
                    </a:ln>
                  </pic:spPr>
                </pic:pic>
              </a:graphicData>
            </a:graphic>
          </wp:inline>
        </w:drawing>
      </w:r>
    </w:p>
    <w:p>
      <w:pPr>
        <w:pStyle w:val="14"/>
        <w:ind w:firstLine="560"/>
        <w:jc w:val="center"/>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图</w:t>
      </w:r>
      <w:r>
        <w:rPr>
          <w:rFonts w:hint="default" w:ascii="Times New Roman Regular" w:hAnsi="Times New Roman Regular" w:eastAsia="楷体" w:cs="Times New Roman Regular"/>
          <w:kern w:val="0"/>
          <w:sz w:val="28"/>
          <w:szCs w:val="28"/>
          <w:lang w:eastAsia="zh-CN" w:bidi="ar-SA"/>
        </w:rPr>
        <w:t>2</w:t>
      </w:r>
      <w:r>
        <w:rPr>
          <w:rFonts w:hint="eastAsia" w:ascii="楷体" w:hAnsi="楷体" w:eastAsia="楷体" w:cs="楷体"/>
          <w:kern w:val="0"/>
          <w:sz w:val="28"/>
          <w:szCs w:val="28"/>
          <w:lang w:val="en-US" w:eastAsia="zh-CN" w:bidi="ar-SA"/>
        </w:rPr>
        <w:t xml:space="preserve"> 新丰县产业发展空间布局</w:t>
      </w:r>
    </w:p>
    <w:p>
      <w:pPr>
        <w:pStyle w:val="30"/>
        <w:numPr>
          <w:ilvl w:val="0"/>
          <w:numId w:val="9"/>
        </w:numPr>
        <w:spacing w:before="156" w:beforeLines="50" w:after="156" w:afterLines="50"/>
        <w:ind w:firstLineChars="0"/>
        <w:outlineLvl w:val="1"/>
        <w:rPr>
          <w:rFonts w:ascii="楷体" w:hAnsi="楷体" w:eastAsia="楷体"/>
          <w:b/>
          <w:sz w:val="32"/>
          <w:szCs w:val="32"/>
        </w:rPr>
      </w:pPr>
      <w:bookmarkStart w:id="65" w:name="_Toc45901451"/>
      <w:bookmarkStart w:id="66" w:name="_Toc45889344"/>
      <w:bookmarkStart w:id="67" w:name="_Toc19074"/>
      <w:bookmarkStart w:id="68" w:name="_Toc49870935"/>
      <w:r>
        <w:rPr>
          <w:rFonts w:hint="eastAsia" w:ascii="楷体" w:hAnsi="楷体" w:eastAsia="楷体"/>
          <w:b/>
          <w:sz w:val="32"/>
          <w:szCs w:val="32"/>
        </w:rPr>
        <w:t>两大发展</w:t>
      </w:r>
      <w:r>
        <w:rPr>
          <w:rFonts w:ascii="楷体" w:hAnsi="楷体" w:eastAsia="楷体"/>
          <w:b/>
          <w:sz w:val="32"/>
          <w:szCs w:val="32"/>
        </w:rPr>
        <w:t>主</w:t>
      </w:r>
      <w:r>
        <w:rPr>
          <w:rFonts w:hint="eastAsia" w:ascii="楷体" w:hAnsi="楷体" w:eastAsia="楷体"/>
          <w:b/>
          <w:sz w:val="32"/>
          <w:szCs w:val="32"/>
        </w:rPr>
        <w:t>轴</w:t>
      </w:r>
      <w:bookmarkEnd w:id="65"/>
      <w:bookmarkEnd w:id="66"/>
      <w:bookmarkEnd w:id="67"/>
      <w:bookmarkEnd w:id="68"/>
    </w:p>
    <w:p>
      <w:pPr>
        <w:bidi w:val="0"/>
      </w:pPr>
      <w:r>
        <w:rPr>
          <w:rFonts w:hint="eastAsia"/>
        </w:rPr>
        <w:t>“两轴”指按照国道G</w:t>
      </w:r>
      <w:r>
        <w:t>105</w:t>
      </w:r>
      <w:r>
        <w:rPr>
          <w:rFonts w:hint="eastAsia"/>
        </w:rPr>
        <w:t>与省道S</w:t>
      </w:r>
      <w:r>
        <w:t>347</w:t>
      </w:r>
      <w:r>
        <w:rPr>
          <w:rFonts w:hint="eastAsia"/>
        </w:rPr>
        <w:t>走向，在县域范围内形成的两条产业发展轴线。以创新园为中心，由大广高速和国道</w:t>
      </w:r>
      <w:r>
        <w:t>105</w:t>
      </w:r>
      <w:r>
        <w:rPr>
          <w:rFonts w:hint="eastAsia"/>
        </w:rPr>
        <w:t>串联</w:t>
      </w:r>
      <w:r>
        <w:rPr>
          <w:rFonts w:hint="eastAsia"/>
          <w:lang w:eastAsia="zh-CN"/>
        </w:rPr>
        <w:t>松园园</w:t>
      </w:r>
      <w:r>
        <w:rPr>
          <w:rFonts w:hint="eastAsia"/>
        </w:rPr>
        <w:t>、紫城园、马头园，由省道</w:t>
      </w:r>
      <w:r>
        <w:t>347</w:t>
      </w:r>
      <w:r>
        <w:rPr>
          <w:rFonts w:hint="eastAsia"/>
        </w:rPr>
        <w:t>和在建的韶新高速串联回龙园。两轴自县城西侧，向东西两翼铺开，发挥串联、带动县域内其他产业集群的重要作用。</w:t>
      </w:r>
    </w:p>
    <w:p>
      <w:pPr>
        <w:pStyle w:val="30"/>
        <w:numPr>
          <w:ilvl w:val="0"/>
          <w:numId w:val="9"/>
        </w:numPr>
        <w:spacing w:before="156" w:beforeLines="50" w:after="156" w:afterLines="50"/>
        <w:ind w:firstLineChars="0"/>
        <w:outlineLvl w:val="1"/>
        <w:rPr>
          <w:rFonts w:ascii="楷体" w:hAnsi="楷体" w:eastAsia="楷体"/>
          <w:b/>
          <w:sz w:val="32"/>
          <w:szCs w:val="32"/>
        </w:rPr>
      </w:pPr>
      <w:bookmarkStart w:id="69" w:name="_Toc45901452"/>
      <w:bookmarkStart w:id="70" w:name="_Toc49870936"/>
      <w:bookmarkStart w:id="71" w:name="_Toc31478"/>
      <w:r>
        <w:rPr>
          <w:rFonts w:hint="eastAsia" w:ascii="楷体" w:hAnsi="楷体" w:eastAsia="楷体"/>
          <w:b/>
          <w:sz w:val="32"/>
          <w:szCs w:val="32"/>
        </w:rPr>
        <w:t>四大产业片区</w:t>
      </w:r>
      <w:bookmarkEnd w:id="69"/>
      <w:bookmarkEnd w:id="70"/>
      <w:bookmarkEnd w:id="71"/>
    </w:p>
    <w:p>
      <w:pPr>
        <w:bidi w:val="0"/>
      </w:pPr>
      <w:r>
        <w:rPr>
          <w:rFonts w:hint="eastAsia"/>
        </w:rPr>
        <w:t>“四区”分别指西部特色工业与现代农业发展区（回龙园、遥田园、沙田园）、中部生态科技与现代制造发展区（创新园、</w:t>
      </w:r>
      <w:r>
        <w:rPr>
          <w:rFonts w:hint="eastAsia"/>
          <w:lang w:eastAsia="zh-CN"/>
        </w:rPr>
        <w:t>松园园</w:t>
      </w:r>
      <w:r>
        <w:rPr>
          <w:rFonts w:hint="eastAsia"/>
        </w:rPr>
        <w:t>、紫城园）、北部生态旅游与观光农业发展区（黄磜镇）以及东部绿色工业与文化体验发展区（马头园）。</w:t>
      </w:r>
    </w:p>
    <w:p>
      <w:pPr>
        <w:pStyle w:val="30"/>
        <w:numPr>
          <w:ilvl w:val="0"/>
          <w:numId w:val="9"/>
        </w:numPr>
        <w:spacing w:before="156" w:beforeLines="50" w:after="156" w:afterLines="50"/>
        <w:ind w:firstLineChars="0"/>
        <w:outlineLvl w:val="1"/>
        <w:rPr>
          <w:rFonts w:ascii="楷体" w:hAnsi="楷体" w:eastAsia="楷体"/>
          <w:b/>
          <w:color w:val="000000"/>
          <w:sz w:val="32"/>
          <w:szCs w:val="32"/>
        </w:rPr>
      </w:pPr>
      <w:bookmarkStart w:id="72" w:name="_Toc24386"/>
      <w:bookmarkStart w:id="73" w:name="_Toc49870937"/>
      <w:bookmarkStart w:id="74" w:name="_Toc45901453"/>
      <w:r>
        <w:rPr>
          <w:rFonts w:hint="eastAsia" w:ascii="楷体" w:hAnsi="楷体" w:eastAsia="楷体"/>
          <w:b/>
          <w:color w:val="000000"/>
          <w:sz w:val="32"/>
          <w:szCs w:val="32"/>
        </w:rPr>
        <w:t>七大</w:t>
      </w:r>
      <w:r>
        <w:rPr>
          <w:rFonts w:ascii="楷体" w:hAnsi="楷体" w:eastAsia="楷体"/>
          <w:b/>
          <w:color w:val="000000"/>
          <w:sz w:val="32"/>
          <w:szCs w:val="32"/>
        </w:rPr>
        <w:t>工</w:t>
      </w:r>
      <w:r>
        <w:rPr>
          <w:rFonts w:hint="eastAsia" w:ascii="楷体" w:hAnsi="楷体" w:eastAsia="楷体"/>
          <w:b/>
          <w:color w:val="000000"/>
          <w:sz w:val="32"/>
          <w:szCs w:val="32"/>
        </w:rPr>
        <w:t>业园区</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“七园”包括四个现有工业园区（创新园、紫城园、马头园、回龙园）与三个新增发展工业园区（</w:t>
      </w:r>
      <w:r>
        <w:rPr>
          <w:rFonts w:hint="eastAsia"/>
          <w:lang w:eastAsia="zh-CN"/>
        </w:rPr>
        <w:t>松园园</w:t>
      </w:r>
      <w:r>
        <w:rPr>
          <w:rFonts w:hint="eastAsia"/>
        </w:rPr>
        <w:t>、遥田园、沙田园）。</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00" w:type="dxa"/>
            <w:vAlign w:val="center"/>
          </w:tcPr>
          <w:p>
            <w:pPr>
              <w:jc w:val="center"/>
              <w:rPr>
                <w:rFonts w:ascii="楷体" w:hAnsi="楷体" w:eastAsia="楷体" w:cs="楷体"/>
                <w:b/>
                <w:bCs/>
                <w:sz w:val="28"/>
                <w:szCs w:val="28"/>
              </w:rPr>
            </w:pPr>
            <w:r>
              <w:rPr>
                <w:rFonts w:hint="eastAsia" w:ascii="楷体" w:hAnsi="楷体" w:eastAsia="楷体" w:cs="楷体"/>
                <w:b/>
                <w:bCs/>
                <w:sz w:val="28"/>
                <w:szCs w:val="28"/>
              </w:rPr>
              <w:t xml:space="preserve">专栏 </w:t>
            </w: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 xml:space="preserve"> 新丰县工业园区发展重点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楷体" w:hAnsi="楷体" w:eastAsia="楷体" w:cs="楷体"/>
                <w:sz w:val="24"/>
                <w:szCs w:val="24"/>
              </w:rPr>
            </w:pPr>
            <w:r>
              <w:rPr>
                <w:rFonts w:hint="eastAsia" w:ascii="楷体" w:hAnsi="楷体" w:eastAsia="楷体" w:cs="楷体"/>
                <w:b/>
                <w:bCs/>
                <w:sz w:val="24"/>
                <w:szCs w:val="24"/>
              </w:rPr>
              <w:t>创新园：</w:t>
            </w:r>
            <w:r>
              <w:rPr>
                <w:rFonts w:hint="eastAsia" w:ascii="楷体" w:hAnsi="楷体" w:eastAsia="楷体" w:cs="楷体"/>
                <w:sz w:val="24"/>
                <w:szCs w:val="24"/>
              </w:rPr>
              <w:t>中部生态科技型产业聚集区，重点发展新能源汽车测试、高新技术、食品加工、康养创意、“互联网+”等生态科技型产业。加快广汽集团（南方）汽车测试中心项目落地，引进新能源汽车零部件研发制造全产业链、汽车检测认证服务平台，带动上下游产业链发展。推进广东新盟食品、迪殷食品项目投产，打造“园中园”模式的东新食品产业基地。整合生态旅游和人文历史资源，打造集运动疗伤、营养补给、运动配件、温泉康养于一体的马拉松体育小镇，健全“旅游+体育”产业体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楷体" w:hAnsi="楷体" w:eastAsia="楷体" w:cs="楷体"/>
                <w:sz w:val="24"/>
                <w:szCs w:val="24"/>
              </w:rPr>
            </w:pPr>
            <w:r>
              <w:rPr>
                <w:rFonts w:hint="eastAsia" w:ascii="楷体" w:hAnsi="楷体" w:eastAsia="楷体" w:cs="楷体"/>
                <w:b/>
                <w:bCs/>
                <w:sz w:val="24"/>
                <w:szCs w:val="24"/>
              </w:rPr>
              <w:t>紫城园：</w:t>
            </w:r>
            <w:r>
              <w:rPr>
                <w:rFonts w:hint="eastAsia" w:ascii="楷体" w:hAnsi="楷体" w:eastAsia="楷体" w:cs="楷体"/>
                <w:sz w:val="24"/>
                <w:szCs w:val="24"/>
              </w:rPr>
              <w:t>中部产城融合示范区，促进现代制造业与现代服务业协同发展。充分发挥杰力电工、永强五金、广兴牧业、中华制漆等规上龙头企业的带动作用，引进上下游产业，做好强链补链工作。同时，积极发展创新创意产业，鼓励企业对接高等院校及科研机构，建立了产学研深度融合的创新体系，提高企业自主创新水平，壮大设计研发、专业咨询和软件开发等现代服务业。</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楷体" w:hAnsi="楷体" w:eastAsia="楷体" w:cs="楷体"/>
                <w:sz w:val="24"/>
                <w:szCs w:val="24"/>
              </w:rPr>
            </w:pPr>
            <w:r>
              <w:rPr>
                <w:rFonts w:hint="eastAsia" w:ascii="楷体" w:hAnsi="楷体" w:eastAsia="楷体" w:cs="楷体"/>
                <w:b/>
                <w:bCs/>
                <w:sz w:val="24"/>
                <w:szCs w:val="24"/>
              </w:rPr>
              <w:t>马头园：</w:t>
            </w:r>
            <w:r>
              <w:rPr>
                <w:rFonts w:hint="eastAsia" w:ascii="楷体" w:hAnsi="楷体" w:eastAsia="楷体" w:cs="楷体"/>
                <w:sz w:val="24"/>
                <w:szCs w:val="24"/>
              </w:rPr>
              <w:t>东部工业增长极，围绕新能源发展循环经济产业，清理园区内产能落后的企业，建设省级循环化改造试点园区。重点推进韶能生物质发电和绿洲生态植物纤维环保餐具制造项目，促进现有涂料产业升级转型，成为新丰县工业高质量发展的示范点。</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楷体" w:hAnsi="楷体" w:eastAsia="楷体" w:cs="楷体"/>
                <w:sz w:val="24"/>
                <w:szCs w:val="24"/>
              </w:rPr>
            </w:pPr>
            <w:r>
              <w:rPr>
                <w:rFonts w:hint="eastAsia" w:ascii="楷体" w:hAnsi="楷体" w:eastAsia="楷体" w:cs="楷体"/>
                <w:b/>
                <w:bCs/>
                <w:sz w:val="24"/>
                <w:szCs w:val="24"/>
              </w:rPr>
              <w:t>回龙园：</w:t>
            </w:r>
            <w:r>
              <w:rPr>
                <w:rFonts w:hint="eastAsia" w:ascii="楷体" w:hAnsi="楷体" w:eastAsia="楷体" w:cs="楷体"/>
                <w:sz w:val="24"/>
                <w:szCs w:val="24"/>
              </w:rPr>
              <w:t>西部工业增长极，园区以“稀土材料+建筑材料”转型升级作为发展重点，着力打造生态化、集约化、标准化、数字化的产业集聚地。以中色南方稀土分离厂为依托，以稀土高附加值产业为发展重点，对稀土下游应用产业招商引资。加快铝型材补强补齐产业链，华厦建陶基地合作开发、鸿丰水泥发展水泥窑工业资源化综合利用等一系列新型建材产业优化发展工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楷体" w:hAnsi="楷体" w:eastAsia="楷体" w:cs="楷体"/>
                <w:sz w:val="24"/>
                <w:szCs w:val="24"/>
              </w:rPr>
            </w:pPr>
            <w:r>
              <w:rPr>
                <w:rFonts w:hint="eastAsia" w:ascii="楷体" w:hAnsi="楷体" w:eastAsia="楷体" w:cs="楷体"/>
                <w:b/>
                <w:bCs/>
                <w:sz w:val="24"/>
                <w:szCs w:val="24"/>
                <w:lang w:eastAsia="zh-CN"/>
              </w:rPr>
              <w:t>松园园</w:t>
            </w:r>
            <w:r>
              <w:rPr>
                <w:rFonts w:hint="eastAsia" w:ascii="楷体" w:hAnsi="楷体" w:eastAsia="楷体" w:cs="楷体"/>
                <w:b/>
                <w:bCs/>
                <w:sz w:val="24"/>
                <w:szCs w:val="24"/>
              </w:rPr>
              <w:t>：</w:t>
            </w:r>
            <w:r>
              <w:rPr>
                <w:rFonts w:hint="eastAsia" w:ascii="楷体" w:hAnsi="楷体" w:eastAsia="楷体" w:cs="楷体"/>
                <w:sz w:val="24"/>
                <w:szCs w:val="24"/>
              </w:rPr>
              <w:t>东部工业新增组团，重点发展新兴制造业与现代制造业，承接大湾区相应的新兴制造业项目，打造新型制造产业聚集地。园区具备集行政和商业商务于一体的综合服务中心和制造业产品仓储物流中心等现代化配套设施，推进产城融合发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楷体" w:hAnsi="楷体" w:eastAsia="楷体" w:cs="楷体"/>
                <w:sz w:val="24"/>
                <w:szCs w:val="24"/>
              </w:rPr>
            </w:pPr>
            <w:r>
              <w:rPr>
                <w:rFonts w:hint="eastAsia" w:ascii="楷体" w:hAnsi="楷体" w:eastAsia="楷体" w:cs="楷体"/>
                <w:b/>
                <w:bCs/>
                <w:sz w:val="24"/>
                <w:szCs w:val="24"/>
              </w:rPr>
              <w:t>遥田园：</w:t>
            </w:r>
            <w:r>
              <w:rPr>
                <w:rFonts w:hint="eastAsia" w:ascii="楷体" w:hAnsi="楷体" w:eastAsia="楷体" w:cs="楷体"/>
                <w:sz w:val="24"/>
                <w:szCs w:val="24"/>
              </w:rPr>
              <w:t>西部工业新增组团，整合周边农业资源，发挥毗邻大湾区的区位优势，主动对接“双区”市场，建设绿色优质的蔬菜、瓜果供应基地。推动农产品品牌化和农产品加工标准化，大力发展高山茶、佛手瓜、美少女西瓜等特色生态农业，精心培育珠三角区域知名品牌，促进农林产品初加工、精加工及副产品利用的融合发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楷体" w:hAnsi="楷体" w:eastAsia="楷体" w:cs="楷体"/>
                <w:sz w:val="24"/>
                <w:szCs w:val="24"/>
              </w:rPr>
            </w:pPr>
            <w:r>
              <w:rPr>
                <w:rFonts w:hint="eastAsia" w:ascii="楷体" w:hAnsi="楷体" w:eastAsia="楷体" w:cs="楷体"/>
                <w:b/>
                <w:bCs/>
                <w:sz w:val="24"/>
                <w:szCs w:val="24"/>
              </w:rPr>
              <w:t>沙田园：</w:t>
            </w:r>
            <w:r>
              <w:rPr>
                <w:rFonts w:hint="eastAsia" w:ascii="楷体" w:hAnsi="楷体" w:eastAsia="楷体" w:cs="楷体"/>
                <w:sz w:val="24"/>
                <w:szCs w:val="24"/>
              </w:rPr>
              <w:t>西南部新增组团，利用X262线连接广州的交通优势，承接珠三角对接大湾区，重点发展新兴制造业，打造县域新兴制造业基地。</w:t>
            </w:r>
          </w:p>
        </w:tc>
      </w:tr>
    </w:tbl>
    <w:p>
      <w:pPr>
        <w:pStyle w:val="30"/>
        <w:numPr>
          <w:ilvl w:val="0"/>
          <w:numId w:val="1"/>
        </w:numPr>
        <w:spacing w:before="156" w:beforeLines="50" w:after="156" w:afterLines="50"/>
        <w:ind w:left="1061" w:firstLineChars="0"/>
        <w:outlineLvl w:val="0"/>
        <w:rPr>
          <w:rFonts w:ascii="黑体" w:hAnsi="黑体" w:eastAsia="黑体"/>
          <w:sz w:val="32"/>
          <w:szCs w:val="32"/>
        </w:rPr>
      </w:pPr>
      <w:bookmarkStart w:id="75" w:name="_Toc45889347"/>
      <w:bookmarkStart w:id="76" w:name="_Toc31059"/>
      <w:bookmarkStart w:id="77" w:name="_Toc43806287"/>
      <w:bookmarkStart w:id="78" w:name="_Toc45901454"/>
      <w:bookmarkStart w:id="79" w:name="_Toc49870938"/>
      <w:r>
        <w:rPr>
          <w:rFonts w:hint="eastAsia" w:ascii="黑体" w:hAnsi="黑体" w:eastAsia="黑体"/>
          <w:sz w:val="32"/>
          <w:szCs w:val="32"/>
        </w:rPr>
        <w:t>主要任务</w:t>
      </w:r>
      <w:bookmarkEnd w:id="75"/>
      <w:bookmarkEnd w:id="76"/>
      <w:bookmarkEnd w:id="77"/>
      <w:bookmarkEnd w:id="78"/>
      <w:bookmarkEnd w:id="79"/>
    </w:p>
    <w:p>
      <w:pPr>
        <w:bidi w:val="0"/>
      </w:pPr>
      <w:r>
        <w:rPr>
          <w:rFonts w:hint="eastAsia"/>
        </w:rPr>
        <w:t>以重点产业提升发展为引领，按照战略性和前瞻性要求，整合优化资源，谋划发展抓手，规划主要任务，为建设推动新丰工业高质量发展提供重要支撑和有力保障。</w:t>
      </w:r>
    </w:p>
    <w:p>
      <w:pPr>
        <w:pStyle w:val="30"/>
        <w:numPr>
          <w:ilvl w:val="0"/>
          <w:numId w:val="10"/>
        </w:numPr>
        <w:spacing w:before="156" w:beforeLines="50" w:after="156" w:afterLines="50"/>
        <w:ind w:firstLineChars="0"/>
        <w:outlineLvl w:val="1"/>
        <w:rPr>
          <w:rFonts w:ascii="楷体" w:hAnsi="楷体" w:eastAsia="楷体"/>
          <w:b/>
          <w:sz w:val="32"/>
          <w:szCs w:val="32"/>
        </w:rPr>
      </w:pPr>
      <w:bookmarkStart w:id="80" w:name="_Toc49870939"/>
      <w:bookmarkStart w:id="81" w:name="_Toc7795"/>
      <w:bookmarkStart w:id="82" w:name="_Toc43806288"/>
      <w:bookmarkStart w:id="83" w:name="_Toc45889348"/>
      <w:bookmarkStart w:id="84" w:name="_Toc45901455"/>
      <w:bookmarkStart w:id="85" w:name="_Toc43806289"/>
      <w:bookmarkStart w:id="86" w:name="_Toc45889349"/>
      <w:bookmarkStart w:id="87" w:name="_Toc45901456"/>
      <w:r>
        <w:rPr>
          <w:rFonts w:ascii="楷体" w:hAnsi="楷体" w:eastAsia="楷体"/>
          <w:b/>
          <w:sz w:val="32"/>
          <w:szCs w:val="32"/>
        </w:rPr>
        <w:t>培育支柱产业，推进产业融合</w:t>
      </w:r>
      <w:bookmarkEnd w:id="80"/>
      <w:bookmarkEnd w:id="81"/>
    </w:p>
    <w:p>
      <w:pPr>
        <w:bidi w:val="0"/>
      </w:pPr>
      <w:r>
        <w:rPr>
          <w:rFonts w:hint="eastAsia"/>
          <w:b/>
          <w:bCs/>
        </w:rPr>
        <w:t>发展新能源产业。</w:t>
      </w:r>
      <w:r>
        <w:t>一是</w:t>
      </w:r>
      <w:r>
        <w:rPr>
          <w:rFonts w:hint="eastAsia"/>
        </w:rPr>
        <w:t>大力</w:t>
      </w:r>
      <w:r>
        <w:t>培育风能、太阳能、生物质能等环境友好型能源产业，</w:t>
      </w:r>
      <w:r>
        <w:rPr>
          <w:rFonts w:hint="eastAsia"/>
        </w:rPr>
        <w:t>落实韶能生物质发电在新丰县的发展需求。</w:t>
      </w:r>
      <w:r>
        <w:t>二</w:t>
      </w:r>
      <w:r>
        <w:rPr>
          <w:rFonts w:hint="eastAsia"/>
        </w:rPr>
        <w:t>是围绕</w:t>
      </w:r>
      <w:r>
        <w:t>南方（韶关）智能网联新能源汽车试验检测中心</w:t>
      </w:r>
      <w:r>
        <w:rPr>
          <w:rFonts w:hint="eastAsia"/>
        </w:rPr>
        <w:t>，建设新能源、智能装备制造、物联网等战略新兴产业融合发展的聚集地</w:t>
      </w:r>
      <w:r>
        <w:t>。</w:t>
      </w:r>
      <w:r>
        <w:rPr>
          <w:rFonts w:hint="eastAsia"/>
        </w:rPr>
        <w:t>紧抓汽车龙头企业</w:t>
      </w:r>
      <w:r>
        <w:t>广汽集团加快在智能网联</w:t>
      </w:r>
      <w:r>
        <w:rPr>
          <w:rFonts w:hint="eastAsia"/>
        </w:rPr>
        <w:t>、</w:t>
      </w:r>
      <w:r>
        <w:t>新能源汽车</w:t>
      </w:r>
      <w:r>
        <w:rPr>
          <w:rFonts w:hint="eastAsia"/>
        </w:rPr>
        <w:t>和无人驾驶汽车等</w:t>
      </w:r>
      <w:r>
        <w:t>领域布局和投入</w:t>
      </w:r>
      <w:r>
        <w:rPr>
          <w:rFonts w:hint="eastAsia"/>
        </w:rPr>
        <w:t>的机遇，引入多家</w:t>
      </w:r>
      <w:r>
        <w:t>汽车零部件</w:t>
      </w:r>
      <w:r>
        <w:rPr>
          <w:rFonts w:hint="eastAsia"/>
        </w:rPr>
        <w:t>制造</w:t>
      </w:r>
      <w:r>
        <w:t>企业</w:t>
      </w:r>
      <w:r>
        <w:rPr>
          <w:rFonts w:hint="eastAsia"/>
        </w:rPr>
        <w:t>和汽车产品认证机构，使</w:t>
      </w:r>
      <w:r>
        <w:t>中心</w:t>
      </w:r>
      <w:r>
        <w:rPr>
          <w:rFonts w:hint="eastAsia"/>
        </w:rPr>
        <w:t>拥有</w:t>
      </w:r>
      <w:r>
        <w:t>科技创新</w:t>
      </w:r>
      <w:r>
        <w:rPr>
          <w:rFonts w:hint="eastAsia"/>
        </w:rPr>
        <w:t>与</w:t>
      </w:r>
      <w:r>
        <w:t>研发</w:t>
      </w:r>
      <w:r>
        <w:rPr>
          <w:rFonts w:hint="eastAsia"/>
        </w:rPr>
        <w:t>制造的全产业链和</w:t>
      </w:r>
      <w:r>
        <w:t>检测与认证</w:t>
      </w:r>
      <w:r>
        <w:rPr>
          <w:rFonts w:hint="eastAsia"/>
        </w:rPr>
        <w:t>一体化的公共服务平台。</w:t>
      </w:r>
      <w:r>
        <w:t>同时，将检测中心规划成开放的社会实验室，为无人驾驶</w:t>
      </w:r>
      <w:r>
        <w:rPr>
          <w:rFonts w:hint="eastAsia"/>
        </w:rPr>
        <w:t>汽车以及</w:t>
      </w:r>
      <w:r>
        <w:t>智能交通管控提供绝佳的试验场地</w:t>
      </w:r>
      <w:r>
        <w:rPr>
          <w:rFonts w:hint="eastAsia"/>
        </w:rPr>
        <w:t>。</w:t>
      </w:r>
    </w:p>
    <w:p>
      <w:pPr>
        <w:bidi w:val="0"/>
      </w:pPr>
      <w:r>
        <w:rPr>
          <w:b/>
          <w:bCs/>
        </w:rPr>
        <w:t>发展</w:t>
      </w:r>
      <w:r>
        <w:rPr>
          <w:rFonts w:hint="eastAsia"/>
          <w:b/>
          <w:bCs/>
        </w:rPr>
        <w:t>新型建材产业</w:t>
      </w:r>
      <w:r>
        <w:rPr>
          <w:b/>
          <w:bCs/>
        </w:rPr>
        <w:t>。</w:t>
      </w:r>
      <w:r>
        <w:t>大力发展锻铸件、汽车零部件、模具等产品，支持发展汽车设备、矿山工程机械、轻工机械等整机及成套设备生产，</w:t>
      </w:r>
      <w:r>
        <w:rPr>
          <w:rFonts w:hint="eastAsia"/>
        </w:rPr>
        <w:t>与区域内的汽车零部件制造和稀土矿产开发等产业协同发展</w:t>
      </w:r>
      <w:r>
        <w:t>。</w:t>
      </w:r>
      <w:r>
        <w:rPr>
          <w:rFonts w:hint="eastAsia"/>
        </w:rPr>
        <w:t>促进</w:t>
      </w:r>
      <w:r>
        <w:t>铝</w:t>
      </w:r>
      <w:r>
        <w:rPr>
          <w:rFonts w:hint="eastAsia"/>
        </w:rPr>
        <w:t>型</w:t>
      </w:r>
      <w:r>
        <w:t>材加工</w:t>
      </w:r>
      <w:r>
        <w:rPr>
          <w:rFonts w:hint="eastAsia"/>
        </w:rPr>
        <w:t>产</w:t>
      </w:r>
      <w:r>
        <w:t>业</w:t>
      </w:r>
      <w:r>
        <w:rPr>
          <w:rFonts w:hint="eastAsia"/>
        </w:rPr>
        <w:t>改造升级</w:t>
      </w:r>
      <w:r>
        <w:t>，在扩大挤压材生产规模的基础上，积极开展挤压材深加工，开发工业铝制品和铝门窗幕墙等下游产品，</w:t>
      </w:r>
      <w:r>
        <w:rPr>
          <w:rFonts w:hint="eastAsia"/>
        </w:rPr>
        <w:t>扩大</w:t>
      </w:r>
      <w:r>
        <w:t>铝型材产业规模</w:t>
      </w:r>
      <w:r>
        <w:rPr>
          <w:rFonts w:hint="eastAsia"/>
        </w:rPr>
        <w:t>。</w:t>
      </w:r>
      <w:r>
        <w:t>发挥广州广兴牧业、杰力电工、永强五金制品等龙头</w:t>
      </w:r>
      <w:r>
        <w:rPr>
          <w:rFonts w:hint="eastAsia"/>
        </w:rPr>
        <w:t>企业</w:t>
      </w:r>
      <w:r>
        <w:t>的带动作用，形成高增长、高质量的产业融合集群。</w:t>
      </w:r>
    </w:p>
    <w:p>
      <w:pPr>
        <w:bidi w:val="0"/>
      </w:pPr>
      <w:r>
        <w:rPr>
          <w:b/>
          <w:bCs/>
        </w:rPr>
        <w:t>发展新材料产业。</w:t>
      </w:r>
      <w:r>
        <w:t>立足于</w:t>
      </w:r>
      <w:r>
        <w:rPr>
          <w:rFonts w:hint="eastAsia"/>
        </w:rPr>
        <w:t>新丰</w:t>
      </w:r>
      <w:r>
        <w:t>县</w:t>
      </w:r>
      <w:r>
        <w:rPr>
          <w:rFonts w:hint="eastAsia"/>
        </w:rPr>
        <w:t>丰富的</w:t>
      </w:r>
      <w:r>
        <w:t>稀土</w:t>
      </w:r>
      <w:r>
        <w:rPr>
          <w:rFonts w:hint="eastAsia"/>
        </w:rPr>
        <w:t>和矿产</w:t>
      </w:r>
      <w:r>
        <w:t>资源，</w:t>
      </w:r>
      <w:r>
        <w:rPr>
          <w:rFonts w:hint="eastAsia"/>
        </w:rPr>
        <w:t>打造</w:t>
      </w:r>
      <w:r>
        <w:t>广东省稀土</w:t>
      </w:r>
      <w:r>
        <w:rPr>
          <w:rFonts w:hint="eastAsia"/>
        </w:rPr>
        <w:t>新材料</w:t>
      </w:r>
      <w:r>
        <w:t>产业发展战略</w:t>
      </w:r>
      <w:r>
        <w:rPr>
          <w:rFonts w:hint="eastAsia"/>
        </w:rPr>
        <w:t>基地</w:t>
      </w:r>
      <w:r>
        <w:t>。</w:t>
      </w:r>
      <w:r>
        <w:rPr>
          <w:rFonts w:hint="eastAsia"/>
        </w:rPr>
        <w:t>一是</w:t>
      </w:r>
      <w:r>
        <w:t>科学规划稀土开发，加强稀土资源</w:t>
      </w:r>
      <w:r>
        <w:rPr>
          <w:rFonts w:hint="eastAsia"/>
        </w:rPr>
        <w:t>储备</w:t>
      </w:r>
      <w:r>
        <w:t>管理</w:t>
      </w:r>
      <w:r>
        <w:rPr>
          <w:rFonts w:hint="eastAsia"/>
        </w:rPr>
        <w:t>，</w:t>
      </w:r>
      <w:r>
        <w:t>协助新丰广晟稀土开发有限公司等企业办理好稀土采矿权证的申办工作。</w:t>
      </w:r>
      <w:r>
        <w:rPr>
          <w:rFonts w:hint="eastAsia"/>
        </w:rPr>
        <w:t>二是</w:t>
      </w:r>
      <w:r>
        <w:t>以工业园回龙片区为载体，重点推进中色南方（新丰）稀土分离厂和稀土特色产业园区规划建设，主动对接聚焦稀土</w:t>
      </w:r>
      <w:r>
        <w:rPr>
          <w:rFonts w:hint="eastAsia"/>
        </w:rPr>
        <w:t>领域</w:t>
      </w:r>
      <w:r>
        <w:t>的国家级科技创新</w:t>
      </w:r>
      <w:r>
        <w:rPr>
          <w:rFonts w:hint="eastAsia"/>
        </w:rPr>
        <w:t>平台</w:t>
      </w:r>
      <w:r>
        <w:t>，形成了稀土勘探、开采、提取、利用以及生态保护全链条的创新集成体系。</w:t>
      </w:r>
      <w:r>
        <w:rPr>
          <w:rFonts w:hint="eastAsia"/>
        </w:rPr>
        <w:t>三是</w:t>
      </w:r>
      <w:r>
        <w:t>引进稀土上下游</w:t>
      </w:r>
      <w:r>
        <w:rPr>
          <w:rFonts w:hint="eastAsia"/>
        </w:rPr>
        <w:t>关联产业</w:t>
      </w:r>
      <w:r>
        <w:t>，</w:t>
      </w:r>
      <w:r>
        <w:rPr>
          <w:rFonts w:hint="eastAsia"/>
        </w:rPr>
        <w:t>引导</w:t>
      </w:r>
      <w:r>
        <w:t>稀土与</w:t>
      </w:r>
      <w:r>
        <w:rPr>
          <w:rFonts w:hint="eastAsia"/>
        </w:rPr>
        <w:t>区域内</w:t>
      </w:r>
      <w:r>
        <w:t>新能源汽车</w:t>
      </w:r>
      <w:r>
        <w:rPr>
          <w:rFonts w:hint="eastAsia"/>
        </w:rPr>
        <w:t>、</w:t>
      </w:r>
      <w:r>
        <w:t>高端技术装备</w:t>
      </w:r>
      <w:r>
        <w:rPr>
          <w:rFonts w:hint="eastAsia"/>
        </w:rPr>
        <w:t>制造等产业互动。围绕</w:t>
      </w:r>
      <w:r>
        <w:t>混合动力车、电动汽车、燃料电池汽车的驱动电机创新发展需要强大的稀土新材料支撑</w:t>
      </w:r>
      <w:r>
        <w:rPr>
          <w:rFonts w:hint="eastAsia"/>
        </w:rPr>
        <w:t>，推动</w:t>
      </w:r>
      <w:r>
        <w:t>稀土高性能永磁材料</w:t>
      </w:r>
      <w:r>
        <w:rPr>
          <w:rFonts w:hint="eastAsia"/>
        </w:rPr>
        <w:t>与</w:t>
      </w:r>
      <w:r>
        <w:t>新能源汽车驱动电机</w:t>
      </w:r>
      <w:r>
        <w:rPr>
          <w:rFonts w:hint="eastAsia"/>
        </w:rPr>
        <w:t>的融合发展</w:t>
      </w:r>
      <w:r>
        <w:t>。</w:t>
      </w:r>
    </w:p>
    <w:p>
      <w:pPr>
        <w:pStyle w:val="30"/>
        <w:numPr>
          <w:ilvl w:val="0"/>
          <w:numId w:val="10"/>
        </w:numPr>
        <w:spacing w:before="156" w:beforeLines="50" w:after="156" w:afterLines="50"/>
        <w:ind w:firstLineChars="0"/>
        <w:outlineLvl w:val="1"/>
        <w:rPr>
          <w:rFonts w:ascii="楷体" w:hAnsi="楷体" w:eastAsia="楷体"/>
          <w:b/>
          <w:sz w:val="32"/>
          <w:szCs w:val="32"/>
        </w:rPr>
      </w:pPr>
      <w:bookmarkStart w:id="88" w:name="_Toc15498"/>
      <w:bookmarkStart w:id="89" w:name="_Toc49870940"/>
      <w:r>
        <w:rPr>
          <w:rFonts w:hint="eastAsia" w:ascii="楷体" w:hAnsi="楷体" w:eastAsia="楷体"/>
          <w:b/>
          <w:sz w:val="32"/>
          <w:szCs w:val="32"/>
        </w:rPr>
        <w:t>强化创新</w:t>
      </w:r>
      <w:bookmarkEnd w:id="82"/>
      <w:r>
        <w:rPr>
          <w:rFonts w:hint="eastAsia" w:ascii="楷体" w:hAnsi="楷体" w:eastAsia="楷体"/>
          <w:b/>
          <w:sz w:val="32"/>
          <w:szCs w:val="32"/>
        </w:rPr>
        <w:t>引领，保障发展质量</w:t>
      </w:r>
      <w:bookmarkEnd w:id="83"/>
      <w:bookmarkEnd w:id="84"/>
      <w:bookmarkEnd w:id="88"/>
      <w:bookmarkEnd w:id="89"/>
    </w:p>
    <w:p>
      <w:pPr>
        <w:bidi w:val="0"/>
      </w:pPr>
      <w:r>
        <w:rPr>
          <w:rFonts w:hint="eastAsia"/>
          <w:b/>
          <w:bCs/>
        </w:rPr>
        <w:t>完善制度供给，确保创新的制度保障。</w:t>
      </w:r>
      <w:r>
        <w:rPr>
          <w:rFonts w:hint="eastAsia"/>
        </w:rPr>
        <w:t>合理的制度保障能够构筑良好的外部环境，激发企业创新活力和创新绩效。进一步加强有利于创新的顶层设计，以制度保障和政策支撑构建人尽其才、财尽其流、物尽其用的制度环境；同时，明确制定鼓励创新的管理制度，鼓励创新行为，充分激发企业的创新活力。</w:t>
      </w:r>
    </w:p>
    <w:p>
      <w:pPr>
        <w:bidi w:val="0"/>
      </w:pPr>
      <w:r>
        <w:rPr>
          <w:rFonts w:hint="eastAsia"/>
          <w:b/>
          <w:bCs/>
        </w:rPr>
        <w:t>优化研发体系，增强创新研发的效能。</w:t>
      </w:r>
      <w:r>
        <w:rPr>
          <w:rFonts w:hint="eastAsia"/>
        </w:rPr>
        <w:t>充分发挥各市场参与方的最大效能，形成政府、科研机构、企业和金融机构等主体之间合作发展的渠道，构建权责清晰、优势互补、利益共享、风险共担的协同创新治理格局，充分释放“人才、资本、信息、技术”等创新要素的活力，最大限度地提高创新效能，提升创新效率。</w:t>
      </w:r>
    </w:p>
    <w:p>
      <w:pPr>
        <w:bidi w:val="0"/>
      </w:pPr>
      <w:r>
        <w:rPr>
          <w:rFonts w:hint="eastAsia"/>
          <w:b/>
          <w:bCs/>
        </w:rPr>
        <w:t>强化创新服务，构建公共服务平台。</w:t>
      </w:r>
      <w:r>
        <w:rPr>
          <w:rFonts w:hint="eastAsia"/>
        </w:rPr>
        <w:t>优质高效的创新公共服务可显著降低企业创新研发成本，提升企业创新的市场活力。围绕新材料、新能源、先进制造业等重点领域，加快建设一批专业水平高、服务能力强、产业支撑力大的公共服务平台，提升计量检测、试验验证、认证认可、标准制定等服务能力。</w:t>
      </w:r>
    </w:p>
    <w:p>
      <w:pPr>
        <w:pStyle w:val="30"/>
        <w:numPr>
          <w:ilvl w:val="0"/>
          <w:numId w:val="10"/>
        </w:numPr>
        <w:spacing w:before="156" w:beforeLines="50" w:after="156" w:afterLines="50"/>
        <w:ind w:firstLineChars="0"/>
        <w:outlineLvl w:val="1"/>
        <w:rPr>
          <w:rFonts w:ascii="楷体" w:hAnsi="楷体" w:eastAsia="楷体"/>
          <w:b/>
          <w:sz w:val="32"/>
          <w:szCs w:val="32"/>
        </w:rPr>
      </w:pPr>
      <w:bookmarkStart w:id="90" w:name="_Toc17296"/>
      <w:bookmarkStart w:id="91" w:name="_Toc49870941"/>
      <w:r>
        <w:rPr>
          <w:rFonts w:hint="eastAsia" w:ascii="楷体" w:hAnsi="楷体" w:eastAsia="楷体"/>
          <w:b/>
          <w:sz w:val="32"/>
          <w:szCs w:val="32"/>
        </w:rPr>
        <w:t>实施智能制造</w:t>
      </w:r>
      <w:bookmarkEnd w:id="85"/>
      <w:r>
        <w:rPr>
          <w:rFonts w:hint="eastAsia" w:ascii="楷体" w:hAnsi="楷体" w:eastAsia="楷体"/>
          <w:b/>
          <w:sz w:val="32"/>
          <w:szCs w:val="32"/>
        </w:rPr>
        <w:t>，促进结构优化</w:t>
      </w:r>
      <w:bookmarkEnd w:id="86"/>
      <w:bookmarkEnd w:id="87"/>
      <w:bookmarkEnd w:id="90"/>
      <w:bookmarkEnd w:id="91"/>
    </w:p>
    <w:p>
      <w:pPr>
        <w:bidi w:val="0"/>
      </w:pPr>
      <w:bookmarkStart w:id="92" w:name="_Toc43806290"/>
      <w:bookmarkStart w:id="93" w:name="_Toc45889350"/>
      <w:r>
        <w:rPr>
          <w:rFonts w:hint="eastAsia"/>
          <w:b/>
          <w:bCs/>
        </w:rPr>
        <w:t>提升企业智能制造水平。</w:t>
      </w:r>
      <w:r>
        <w:rPr>
          <w:rFonts w:hint="eastAsia"/>
        </w:rPr>
        <w:t>推进智能制造示范建设，鼓励龙头企业积极应用物联网、工业互联网、大数据、云计算等技术，探索智能制造新模式，提升制造过程中全要素数字化、网络化管理和智能化、协同化控制。推进两化融合管理体系贯标。引导企业建立、实施、保持和改进两化融合过程管理机制，形成信息化环境下获取可持续竞争优势的新型能力。</w:t>
      </w:r>
    </w:p>
    <w:p>
      <w:pPr>
        <w:bidi w:val="0"/>
      </w:pPr>
      <w:r>
        <w:rPr>
          <w:rFonts w:hint="eastAsia"/>
          <w:b/>
          <w:bCs/>
        </w:rPr>
        <w:t>推进产品（装备）智能化。</w:t>
      </w:r>
      <w:r>
        <w:rPr>
          <w:rFonts w:hint="eastAsia"/>
        </w:rPr>
        <w:t>加快传统产品的智能化升级。鼓励企业加快嵌入式软件芯片、无线传感器、工业控制、故障自动诊断和人工智能等技术与传统装备以及机电产品的融合，进行智能化、网络化的新产品和新装备的研发。加快智能化产品的应用推广，组织开展智能化新产品推介，引导企业应用先进技术和智能化装备，强化供需对接。</w:t>
      </w:r>
    </w:p>
    <w:p>
      <w:pPr>
        <w:bidi w:val="0"/>
      </w:pPr>
      <w:r>
        <w:rPr>
          <w:rFonts w:hint="eastAsia"/>
          <w:b/>
          <w:bCs/>
        </w:rPr>
        <w:t>探索“互联网</w:t>
      </w:r>
      <w:r>
        <w:rPr>
          <w:b/>
          <w:bCs/>
        </w:rPr>
        <w:t>+</w:t>
      </w:r>
      <w:r>
        <w:rPr>
          <w:rFonts w:hint="eastAsia"/>
          <w:b/>
          <w:bCs/>
        </w:rPr>
        <w:t>”制造新模式。</w:t>
      </w:r>
      <w:r>
        <w:rPr>
          <w:rFonts w:hint="eastAsia"/>
        </w:rPr>
        <w:t>鼓励企业开展“互联网</w:t>
      </w:r>
      <w:r>
        <w:t>+</w:t>
      </w:r>
      <w:r>
        <w:rPr>
          <w:rFonts w:hint="eastAsia"/>
        </w:rPr>
        <w:t>”协同制造新模式探索，拓展企业价值空间。探索制造业与互联网融合创新。紧抓国家“新基建”机遇，加快工业互联网等新型基础设施建设，推进大数据、物联网等新技术在工业企业中的广泛运用。开展工业互联网标识解析集成创新，在新材料、新能源等支柱行业率先推广工业互联网平台应用，实现跨企业、跨地区的信息交互；支撑关键产品追溯、供应链管理和智能产品全生命周期管理。加快制造、服务和生产环节数字化，发挥人工智能在工业转型升级中的引领作用，积极开展试点示范，在工业生产、工艺优化、运行维护等领域推广一批成熟的解决方案。</w:t>
      </w:r>
    </w:p>
    <w:p>
      <w:pPr>
        <w:pStyle w:val="30"/>
        <w:numPr>
          <w:ilvl w:val="0"/>
          <w:numId w:val="10"/>
        </w:numPr>
        <w:spacing w:before="156" w:beforeLines="50" w:after="156" w:afterLines="50"/>
        <w:ind w:firstLineChars="0"/>
        <w:outlineLvl w:val="1"/>
        <w:rPr>
          <w:rFonts w:ascii="楷体" w:hAnsi="楷体" w:eastAsia="楷体"/>
          <w:b/>
          <w:sz w:val="32"/>
          <w:szCs w:val="32"/>
        </w:rPr>
      </w:pPr>
      <w:bookmarkStart w:id="94" w:name="_Toc49870942"/>
      <w:bookmarkStart w:id="95" w:name="_Toc45901457"/>
      <w:bookmarkStart w:id="96" w:name="_Toc11660"/>
      <w:r>
        <w:rPr>
          <w:rFonts w:hint="eastAsia" w:ascii="楷体" w:hAnsi="楷体" w:eastAsia="楷体"/>
          <w:b/>
          <w:sz w:val="32"/>
          <w:szCs w:val="32"/>
        </w:rPr>
        <w:t>坚持绿色</w:t>
      </w:r>
      <w:bookmarkEnd w:id="92"/>
      <w:r>
        <w:rPr>
          <w:rFonts w:hint="eastAsia" w:ascii="楷体" w:hAnsi="楷体" w:eastAsia="楷体"/>
          <w:b/>
          <w:sz w:val="32"/>
          <w:szCs w:val="32"/>
        </w:rPr>
        <w:t>制造，兼顾生态效益</w:t>
      </w:r>
      <w:bookmarkEnd w:id="93"/>
      <w:bookmarkEnd w:id="94"/>
      <w:bookmarkEnd w:id="95"/>
      <w:bookmarkEnd w:id="96"/>
    </w:p>
    <w:p>
      <w:pPr>
        <w:bidi w:val="0"/>
      </w:pPr>
      <w:r>
        <w:rPr>
          <w:rFonts w:hint="eastAsia"/>
          <w:b/>
          <w:bCs/>
        </w:rPr>
        <w:t>强抓绿色工业项目。</w:t>
      </w:r>
      <w:r>
        <w:rPr>
          <w:rFonts w:hint="eastAsia"/>
        </w:rPr>
        <w:t>以清洁能源开发项目为抓手，重点加快促进华润风力、韶能生物质发电项目建成投产；推进建设中电投风力发电、中能建风力发电等项目。</w:t>
      </w:r>
    </w:p>
    <w:p>
      <w:pPr>
        <w:bidi w:val="0"/>
      </w:pPr>
      <w:r>
        <w:rPr>
          <w:rFonts w:hint="eastAsia"/>
          <w:b/>
          <w:bCs/>
        </w:rPr>
        <w:t>改造提升传统产业。</w:t>
      </w:r>
      <w:r>
        <w:rPr>
          <w:rFonts w:hint="eastAsia"/>
        </w:rPr>
        <w:t>以技术改造为抓手，加快行业中产能落后、资源消耗大、环境污染严重企业的升级转型。鼓励企业运用新材料、新技术、新工艺、新装备，降低资源消耗，减少有毒有害物质的使用和排放。</w:t>
      </w:r>
    </w:p>
    <w:p>
      <w:pPr>
        <w:bidi w:val="0"/>
      </w:pPr>
      <w:r>
        <w:rPr>
          <w:rFonts w:hint="eastAsia"/>
          <w:b/>
          <w:bCs/>
        </w:rPr>
        <w:t>创建绿色</w:t>
      </w:r>
      <w:r>
        <w:rPr>
          <w:rFonts w:hint="default"/>
          <w:b/>
          <w:bCs/>
        </w:rPr>
        <w:t>产</w:t>
      </w:r>
      <w:r>
        <w:rPr>
          <w:rFonts w:hint="eastAsia"/>
          <w:b/>
          <w:bCs/>
        </w:rPr>
        <w:t>业园区。</w:t>
      </w:r>
      <w:r>
        <w:t>以</w:t>
      </w:r>
      <w:r>
        <w:rPr>
          <w:rFonts w:hint="eastAsia"/>
          <w:lang w:val="en-US" w:eastAsia="zh-CN"/>
        </w:rPr>
        <w:t>重点建设项目</w:t>
      </w:r>
      <w:r>
        <w:rPr>
          <w:rFonts w:hint="eastAsia"/>
          <w:lang w:eastAsia="zh-CN"/>
        </w:rPr>
        <w:t>新丰万洋众创城</w:t>
      </w:r>
      <w:r>
        <w:rPr>
          <w:rFonts w:hint="default"/>
          <w:lang w:eastAsia="zh-CN"/>
        </w:rPr>
        <w:t>为抓手，根据</w:t>
      </w:r>
      <w:r>
        <w:rPr>
          <w:rFonts w:hint="eastAsia" w:ascii="仿宋_GB2312" w:hAnsi="仿宋_GB2312" w:eastAsia="仿宋_GB2312" w:cs="仿宋_GB2312"/>
          <w:b w:val="0"/>
          <w:bCs w:val="0"/>
          <w:i w:val="0"/>
          <w:caps w:val="0"/>
          <w:color w:val="auto"/>
          <w:spacing w:val="0"/>
          <w:sz w:val="32"/>
          <w:szCs w:val="32"/>
          <w:shd w:val="clear" w:color="090000" w:fill="FFFFFF"/>
          <w:lang w:val="en-US" w:eastAsia="zh-CN"/>
        </w:rPr>
        <w:t>“产业集聚、产城融合、资源共享、产融互动”</w:t>
      </w:r>
      <w:r>
        <w:rPr>
          <w:rFonts w:hint="default" w:ascii="仿宋_GB2312" w:hAnsi="仿宋_GB2312" w:eastAsia="仿宋_GB2312" w:cs="仿宋_GB2312"/>
          <w:b w:val="0"/>
          <w:bCs w:val="0"/>
          <w:i w:val="0"/>
          <w:caps w:val="0"/>
          <w:color w:val="auto"/>
          <w:spacing w:val="0"/>
          <w:sz w:val="32"/>
          <w:szCs w:val="32"/>
          <w:shd w:val="clear" w:color="090000" w:fill="FFFFFF"/>
          <w:lang w:eastAsia="zh-CN"/>
        </w:rPr>
        <w:t>的模式，打造</w:t>
      </w:r>
      <w:r>
        <w:rPr>
          <w:rFonts w:hint="eastAsia" w:ascii="仿宋_GB2312" w:hAnsi="仿宋_GB2312" w:eastAsia="仿宋_GB2312" w:cs="仿宋_GB2312"/>
          <w:b w:val="0"/>
          <w:bCs w:val="0"/>
          <w:i w:val="0"/>
          <w:caps w:val="0"/>
          <w:color w:val="auto"/>
          <w:spacing w:val="0"/>
          <w:sz w:val="32"/>
          <w:szCs w:val="32"/>
          <w:shd w:val="clear" w:color="090000" w:fill="FFFFFF"/>
          <w:lang w:val="en-US" w:eastAsia="zh-CN"/>
        </w:rPr>
        <w:t>集制造研发、电子商务、仓储物流、生产生活配套、金融服务和智慧园区管理为一体的绿色智能产业示范园区</w:t>
      </w:r>
      <w:r>
        <w:rPr>
          <w:rFonts w:hint="default" w:ascii="仿宋_GB2312" w:hAnsi="仿宋_GB2312" w:eastAsia="仿宋_GB2312" w:cs="仿宋_GB2312"/>
          <w:b w:val="0"/>
          <w:bCs w:val="0"/>
          <w:i w:val="0"/>
          <w:caps w:val="0"/>
          <w:color w:val="auto"/>
          <w:spacing w:val="0"/>
          <w:sz w:val="32"/>
          <w:szCs w:val="32"/>
          <w:shd w:val="clear" w:color="090000" w:fill="FFFFFF"/>
          <w:lang w:eastAsia="zh-CN"/>
        </w:rPr>
        <w:t>。</w:t>
      </w:r>
      <w:r>
        <w:rPr>
          <w:rFonts w:hint="eastAsia"/>
        </w:rPr>
        <w:t>按照产业结构绿色化、能源利用绿色化、运营管理绿色化、基础设施绿色化的要求，加快新能源和可再生能源应用，提高能源利用效率；完善园区垃圾分类收集、运输和处置体系以及污水管网和处理设施建设，提高废弃物品资源化利用率；对园区内运输、供水、供电、照明、通讯等基础设施进行绿色化和循环化改造，促进各类基础设施的共建共享、集成优化。</w:t>
      </w:r>
      <w:r>
        <w:t> </w:t>
      </w:r>
    </w:p>
    <w:p>
      <w:pPr>
        <w:pStyle w:val="30"/>
        <w:numPr>
          <w:ilvl w:val="0"/>
          <w:numId w:val="1"/>
        </w:numPr>
        <w:ind w:firstLineChars="0"/>
        <w:outlineLvl w:val="0"/>
        <w:rPr>
          <w:rFonts w:ascii="黑体" w:hAnsi="黑体" w:eastAsia="黑体"/>
          <w:sz w:val="32"/>
          <w:szCs w:val="32"/>
        </w:rPr>
      </w:pPr>
      <w:bookmarkStart w:id="97" w:name="_Toc45901459"/>
      <w:bookmarkStart w:id="98" w:name="_Toc43806296"/>
      <w:bookmarkStart w:id="99" w:name="_Toc45889352"/>
      <w:bookmarkStart w:id="100" w:name="_Toc49870943"/>
      <w:bookmarkStart w:id="101" w:name="_Toc18852"/>
      <w:r>
        <w:rPr>
          <w:rFonts w:hint="eastAsia" w:ascii="黑体" w:hAnsi="黑体" w:eastAsia="黑体"/>
          <w:sz w:val="32"/>
          <w:szCs w:val="32"/>
        </w:rPr>
        <w:t>保障措施</w:t>
      </w:r>
      <w:bookmarkEnd w:id="97"/>
      <w:bookmarkEnd w:id="98"/>
      <w:bookmarkEnd w:id="99"/>
      <w:bookmarkEnd w:id="100"/>
      <w:bookmarkEnd w:id="101"/>
    </w:p>
    <w:p>
      <w:pPr>
        <w:pStyle w:val="30"/>
        <w:numPr>
          <w:ilvl w:val="0"/>
          <w:numId w:val="11"/>
        </w:numPr>
        <w:spacing w:before="156" w:beforeLines="50" w:after="156" w:afterLines="50"/>
        <w:ind w:firstLineChars="0"/>
        <w:outlineLvl w:val="1"/>
        <w:rPr>
          <w:rFonts w:ascii="仿宋" w:hAnsi="仿宋" w:eastAsia="仿宋"/>
          <w:sz w:val="32"/>
          <w:szCs w:val="32"/>
        </w:rPr>
      </w:pPr>
      <w:bookmarkStart w:id="102" w:name="_Toc45901460"/>
      <w:bookmarkStart w:id="103" w:name="_Toc49870944"/>
      <w:bookmarkStart w:id="104" w:name="_Toc45889353"/>
      <w:bookmarkStart w:id="105" w:name="_Toc8616"/>
      <w:r>
        <w:rPr>
          <w:rFonts w:hint="eastAsia" w:ascii="楷体" w:hAnsi="楷体" w:eastAsia="楷体"/>
          <w:b/>
          <w:bCs/>
          <w:sz w:val="32"/>
          <w:szCs w:val="32"/>
        </w:rPr>
        <w:t>体制机制改革</w:t>
      </w:r>
      <w:bookmarkEnd w:id="102"/>
      <w:bookmarkEnd w:id="103"/>
      <w:bookmarkEnd w:id="104"/>
      <w:bookmarkEnd w:id="105"/>
    </w:p>
    <w:p>
      <w:pPr>
        <w:bidi w:val="0"/>
      </w:pPr>
      <w:r>
        <w:rPr>
          <w:rFonts w:hint="eastAsia"/>
        </w:rPr>
        <w:t>加强对国家强制性标准实施的监督检查，探索工业领域供给侧结构性改革，减轻企业负担，释放企业活力。探索建立工业企业信用体系，健全企业信用动态评价、守信激励和失信惩戒机制，强化企业社会责任建设，推行企业产品标准、质量、安全自我声明和监督制度。健全知识产权保护机制，营造公平竞争市场环境。强化工业运行监测，积极建设工业运行监测平台及大数据平台，为及时掌握县内工业经济发展形势提供智能支撑。</w:t>
      </w:r>
    </w:p>
    <w:p>
      <w:pPr>
        <w:pStyle w:val="30"/>
        <w:numPr>
          <w:ilvl w:val="0"/>
          <w:numId w:val="11"/>
        </w:numPr>
        <w:spacing w:before="156" w:beforeLines="50" w:after="156" w:afterLines="50"/>
        <w:ind w:firstLineChars="0"/>
        <w:outlineLvl w:val="1"/>
        <w:rPr>
          <w:rFonts w:ascii="楷体" w:hAnsi="楷体" w:eastAsia="楷体"/>
          <w:b/>
          <w:bCs/>
          <w:sz w:val="32"/>
          <w:szCs w:val="32"/>
        </w:rPr>
      </w:pPr>
      <w:bookmarkStart w:id="106" w:name="_Toc43806298"/>
      <w:bookmarkStart w:id="107" w:name="_Toc49870945"/>
      <w:bookmarkStart w:id="108" w:name="_Toc45889354"/>
      <w:bookmarkStart w:id="109" w:name="_Toc45901461"/>
      <w:bookmarkStart w:id="110" w:name="_Toc9573"/>
      <w:r>
        <w:rPr>
          <w:rFonts w:hint="eastAsia" w:ascii="楷体" w:hAnsi="楷体" w:eastAsia="楷体"/>
          <w:b/>
          <w:bCs/>
          <w:sz w:val="32"/>
          <w:szCs w:val="32"/>
        </w:rPr>
        <w:t>财政金融扶持</w:t>
      </w:r>
      <w:bookmarkEnd w:id="106"/>
      <w:bookmarkEnd w:id="107"/>
      <w:bookmarkEnd w:id="108"/>
      <w:bookmarkEnd w:id="109"/>
      <w:bookmarkEnd w:id="110"/>
    </w:p>
    <w:p>
      <w:pPr>
        <w:bidi w:val="0"/>
      </w:pPr>
      <w:r>
        <w:rPr>
          <w:rFonts w:hint="eastAsia"/>
          <w:b/>
          <w:bCs/>
        </w:rPr>
        <w:t>一是加大财政资金支持力度。</w:t>
      </w:r>
      <w:r>
        <w:rPr>
          <w:rFonts w:hint="eastAsia"/>
        </w:rPr>
        <w:t>每年逐步</w:t>
      </w:r>
      <w:r>
        <w:t>扩大</w:t>
      </w:r>
      <w:r>
        <w:rPr>
          <w:rFonts w:hint="eastAsia"/>
        </w:rPr>
        <w:t>县</w:t>
      </w:r>
      <w:r>
        <w:t>级产业发展基金规模</w:t>
      </w:r>
      <w:r>
        <w:rPr>
          <w:rFonts w:hint="eastAsia"/>
        </w:rPr>
        <w:t>，用于支持产业基地基础设施和配套设施建设，重点投向培育新材料产业、新能源产业、新型建材产业、休闲旅游产业、创新创意服务业、特色农林</w:t>
      </w:r>
      <w:r>
        <w:t>加工</w:t>
      </w:r>
      <w:r>
        <w:rPr>
          <w:rFonts w:hint="eastAsia"/>
        </w:rPr>
        <w:t>业等重点领域</w:t>
      </w:r>
      <w:r>
        <w:t>。</w:t>
      </w:r>
      <w:r>
        <w:rPr>
          <w:rFonts w:hint="eastAsia"/>
          <w:b/>
          <w:bCs/>
        </w:rPr>
        <w:t>二是创新信贷金融产品。</w:t>
      </w:r>
      <w:r>
        <w:rPr>
          <w:rFonts w:hint="eastAsia"/>
        </w:rPr>
        <w:t>积极支持金融机构推出针对中小企业的信贷产品，提供更多信贷支持。</w:t>
      </w:r>
      <w:r>
        <w:rPr>
          <w:rFonts w:hint="eastAsia"/>
          <w:b/>
          <w:bCs/>
        </w:rPr>
        <w:t>三是推进企业上市挂牌。</w:t>
      </w:r>
      <w:r>
        <w:rPr>
          <w:rFonts w:hint="eastAsia"/>
        </w:rPr>
        <w:t>鼓励有条件的企业积极上市挂牌，加强企业直接融资能力，打造多层次资本市场。</w:t>
      </w:r>
    </w:p>
    <w:p>
      <w:pPr>
        <w:pStyle w:val="30"/>
        <w:numPr>
          <w:ilvl w:val="0"/>
          <w:numId w:val="11"/>
        </w:numPr>
        <w:spacing w:before="156" w:beforeLines="50" w:after="156" w:afterLines="50"/>
        <w:ind w:firstLineChars="0"/>
        <w:outlineLvl w:val="1"/>
        <w:rPr>
          <w:rFonts w:ascii="楷体" w:hAnsi="楷体" w:eastAsia="楷体"/>
          <w:b/>
          <w:bCs/>
          <w:strike/>
          <w:sz w:val="32"/>
          <w:szCs w:val="32"/>
        </w:rPr>
      </w:pPr>
      <w:bookmarkStart w:id="111" w:name="_Toc43806300"/>
      <w:bookmarkStart w:id="112" w:name="_Toc45901462"/>
      <w:bookmarkStart w:id="113" w:name="_Toc45889355"/>
      <w:bookmarkStart w:id="114" w:name="_Toc49870946"/>
      <w:bookmarkStart w:id="115" w:name="_Toc1214"/>
      <w:r>
        <w:rPr>
          <w:rFonts w:hint="eastAsia" w:ascii="楷体" w:hAnsi="楷体" w:eastAsia="楷体"/>
          <w:b/>
          <w:bCs/>
          <w:sz w:val="32"/>
          <w:szCs w:val="32"/>
        </w:rPr>
        <w:t>强化考核激励</w:t>
      </w:r>
      <w:bookmarkEnd w:id="111"/>
      <w:bookmarkEnd w:id="112"/>
      <w:bookmarkEnd w:id="113"/>
      <w:bookmarkEnd w:id="114"/>
      <w:bookmarkEnd w:id="115"/>
    </w:p>
    <w:p>
      <w:pPr>
        <w:bidi w:val="0"/>
      </w:pPr>
      <w:r>
        <w:rPr>
          <w:rFonts w:hint="eastAsia"/>
          <w:b/>
          <w:bCs/>
        </w:rPr>
        <w:t>一是</w:t>
      </w:r>
      <w:r>
        <w:rPr>
          <w:rFonts w:hint="eastAsia"/>
        </w:rPr>
        <w:t>持续优化分类考评、动态评估机制，根据各乡镇（街道、园区）的不同定位，建立差异化考核评估体系，强化对规划实施情况的跟踪分析和督促检查，确保工业发展目标顺利实现。</w:t>
      </w:r>
      <w:r>
        <w:rPr>
          <w:rFonts w:hint="eastAsia"/>
          <w:b/>
          <w:bCs/>
        </w:rPr>
        <w:t>二是</w:t>
      </w:r>
      <w:r>
        <w:rPr>
          <w:rFonts w:hint="eastAsia"/>
        </w:rPr>
        <w:t>健全完善企业发展激励机制，加大对企业发展的奖励力度。健全完善人才激励机制，优化业绩考评机制和薪酬制度体系，支持企业引进高级管理人才和培养技术工人，为我县产业发展提供人才支撑。</w:t>
      </w:r>
    </w:p>
    <w:p>
      <w:pPr>
        <w:pStyle w:val="30"/>
        <w:numPr>
          <w:ilvl w:val="0"/>
          <w:numId w:val="11"/>
        </w:numPr>
        <w:spacing w:before="156" w:beforeLines="50" w:after="156" w:afterLines="50"/>
        <w:ind w:firstLineChars="0"/>
        <w:outlineLvl w:val="1"/>
        <w:rPr>
          <w:rFonts w:ascii="楷体" w:hAnsi="楷体" w:eastAsia="楷体"/>
          <w:b/>
          <w:bCs/>
          <w:sz w:val="32"/>
          <w:szCs w:val="32"/>
        </w:rPr>
      </w:pPr>
      <w:bookmarkStart w:id="116" w:name="_Toc49870947"/>
      <w:bookmarkStart w:id="117" w:name="_Toc15668"/>
      <w:bookmarkStart w:id="118" w:name="_Toc45889356"/>
      <w:bookmarkStart w:id="119" w:name="_Toc45901463"/>
      <w:r>
        <w:rPr>
          <w:rFonts w:hint="eastAsia" w:ascii="楷体" w:hAnsi="楷体" w:eastAsia="楷体"/>
          <w:b/>
          <w:bCs/>
          <w:sz w:val="32"/>
          <w:szCs w:val="32"/>
        </w:rPr>
        <w:t>完善基础设施</w:t>
      </w:r>
      <w:bookmarkEnd w:id="116"/>
      <w:bookmarkEnd w:id="117"/>
      <w:bookmarkEnd w:id="118"/>
      <w:bookmarkEnd w:id="119"/>
    </w:p>
    <w:p>
      <w:pPr>
        <w:bidi w:val="0"/>
      </w:pPr>
      <w:r>
        <w:rPr>
          <w:rFonts w:hint="eastAsia"/>
          <w:b/>
          <w:bCs/>
        </w:rPr>
        <w:t>一是保障重点工业项目建设用地。</w:t>
      </w:r>
      <w:r>
        <w:rPr>
          <w:rFonts w:hint="eastAsia"/>
        </w:rPr>
        <w:t>落实《韶关融入</w:t>
      </w:r>
      <w:r>
        <w:t>粤港澳大湾区南部（新丰）产业平台工业园区</w:t>
      </w:r>
      <w:r>
        <w:rPr>
          <w:rFonts w:hint="eastAsia"/>
        </w:rPr>
        <w:t>规划》</w:t>
      </w:r>
      <w:r>
        <w:t>，严格对接最新修编的土地利用总体规划中的用地规模和空间布局，确保重点项目的可实施性。</w:t>
      </w:r>
      <w:r>
        <w:rPr>
          <w:rFonts w:hint="eastAsia"/>
        </w:rPr>
        <w:t>统筹安排年度土地利用计划指标，适度向工业建设用地倾斜。鼓励采取长期租赁、先租后让、租让结合等多种供地方式，减少占地规模，缩短占地年期，降低企业用地成本。引导社会主体规范运用产业用地政策，增加战略性新兴产业、创新创业平台等产业用地供给。</w:t>
      </w:r>
      <w:r>
        <w:rPr>
          <w:rFonts w:hint="eastAsia"/>
          <w:b/>
          <w:bCs/>
        </w:rPr>
        <w:t>二是进一步强化产业配套载体建设。</w:t>
      </w:r>
      <w:r>
        <w:rPr>
          <w:rFonts w:hint="eastAsia"/>
        </w:rPr>
        <w:t>继续加强园区生产要素和配套设施建设，合理规划新建一批加气站和变电站，方便企业生产及居民生活，完善园区生产生活服务机构。</w:t>
      </w:r>
    </w:p>
    <w:p>
      <w:pPr>
        <w:pStyle w:val="30"/>
        <w:numPr>
          <w:ilvl w:val="0"/>
          <w:numId w:val="11"/>
        </w:numPr>
        <w:spacing w:before="156" w:beforeLines="50" w:after="156" w:afterLines="50"/>
        <w:ind w:firstLineChars="0"/>
        <w:outlineLvl w:val="1"/>
        <w:rPr>
          <w:rFonts w:ascii="楷体" w:hAnsi="楷体" w:eastAsia="楷体"/>
          <w:b/>
          <w:bCs/>
          <w:sz w:val="32"/>
          <w:szCs w:val="32"/>
        </w:rPr>
      </w:pPr>
      <w:bookmarkStart w:id="120" w:name="_Toc3522"/>
      <w:bookmarkStart w:id="121" w:name="_Toc45901464"/>
      <w:bookmarkStart w:id="122" w:name="_Toc49870948"/>
      <w:bookmarkStart w:id="123" w:name="_Toc43806301"/>
      <w:bookmarkStart w:id="124" w:name="_Toc45889357"/>
      <w:r>
        <w:rPr>
          <w:rFonts w:hint="eastAsia" w:ascii="楷体" w:hAnsi="楷体" w:eastAsia="楷体"/>
          <w:b/>
          <w:bCs/>
          <w:sz w:val="32"/>
          <w:szCs w:val="32"/>
        </w:rPr>
        <w:t>落实发展规划</w:t>
      </w:r>
      <w:bookmarkEnd w:id="120"/>
      <w:bookmarkEnd w:id="121"/>
      <w:bookmarkEnd w:id="122"/>
      <w:bookmarkEnd w:id="123"/>
      <w:bookmarkEnd w:id="124"/>
    </w:p>
    <w:p>
      <w:pPr>
        <w:bidi w:val="0"/>
        <w:rPr>
          <w:rFonts w:hint="eastAsia"/>
        </w:rPr>
        <w:sectPr>
          <w:footerReference r:id="rId3" w:type="default"/>
          <w:pgSz w:w="11906" w:h="16838"/>
          <w:pgMar w:top="1440" w:right="1803" w:bottom="1440" w:left="1803" w:header="851" w:footer="1474" w:gutter="0"/>
          <w:pgNumType w:fmt="decimal" w:start="1"/>
          <w:cols w:space="425" w:num="1"/>
          <w:docGrid w:type="lines" w:linePitch="312" w:charSpace="0"/>
        </w:sectPr>
      </w:pPr>
      <w:r>
        <w:rPr>
          <w:rFonts w:hint="eastAsia"/>
        </w:rPr>
        <w:t>《新丰县工业高质量发展“十四五”规划》是“十四五”期间全县工业发展的指导性文件和行动纲领，各相关部门以本规划为指导，</w:t>
      </w:r>
      <w:r>
        <w:t>下设小组办公室承担日常工作，</w:t>
      </w:r>
      <w:r>
        <w:rPr>
          <w:rFonts w:hint="eastAsia"/>
        </w:rPr>
        <w:t>制定年度实施计划，分解落实目标任务，明确责任</w:t>
      </w:r>
      <w:r>
        <w:t>主体</w:t>
      </w:r>
      <w:r>
        <w:rPr>
          <w:rFonts w:hint="eastAsia"/>
        </w:rPr>
        <w:t>，强化</w:t>
      </w:r>
      <w:r>
        <w:t>工作流程</w:t>
      </w:r>
      <w:r>
        <w:rPr>
          <w:rFonts w:hint="eastAsia"/>
        </w:rPr>
        <w:t>，合力推进新丰工业经济高质量发展。</w:t>
      </w:r>
    </w:p>
    <w:p>
      <w:pPr>
        <w:numPr>
          <w:ilvl w:val="0"/>
          <w:numId w:val="0"/>
        </w:numPr>
        <w:adjustRightInd w:val="0"/>
        <w:snapToGrid/>
        <w:spacing w:line="324" w:lineRule="auto"/>
        <w:outlineLvl w:val="0"/>
        <w:rPr>
          <w:rFonts w:hint="default" w:ascii="黑体" w:hAnsi="黑体" w:eastAsia="黑体"/>
          <w:b/>
          <w:color w:val="000000"/>
          <w:szCs w:val="32"/>
          <w:lang w:val="en-US" w:eastAsia="zh-CN"/>
        </w:rPr>
      </w:pPr>
      <w:bookmarkStart w:id="125" w:name="_Toc30205"/>
      <w:bookmarkStart w:id="126" w:name="_Toc25334"/>
      <w:r>
        <w:rPr>
          <w:rFonts w:hint="eastAsia" w:ascii="黑体" w:hAnsi="黑体" w:eastAsia="黑体"/>
          <w:b/>
          <w:color w:val="000000"/>
          <w:szCs w:val="32"/>
          <w:lang w:val="en-US" w:eastAsia="zh-CN"/>
        </w:rPr>
        <w:t>附件</w:t>
      </w:r>
      <w:bookmarkEnd w:id="125"/>
      <w:bookmarkEnd w:id="126"/>
    </w:p>
    <w:p>
      <w:pPr>
        <w:ind w:firstLine="0" w:firstLineChars="0"/>
        <w:jc w:val="center"/>
        <w:rPr>
          <w:rFonts w:hint="default"/>
          <w:b/>
          <w:bCs/>
          <w:sz w:val="32"/>
          <w:szCs w:val="32"/>
          <w:lang w:eastAsia="zh-CN"/>
        </w:rPr>
      </w:pPr>
      <w:r>
        <w:rPr>
          <w:rFonts w:hint="default"/>
          <w:b/>
          <w:bCs/>
          <w:sz w:val="32"/>
          <w:szCs w:val="32"/>
          <w:lang w:eastAsia="zh-CN"/>
        </w:rPr>
        <w:t xml:space="preserve">附件1 </w:t>
      </w:r>
      <w:r>
        <w:rPr>
          <w:rFonts w:hint="eastAsia"/>
          <w:b/>
          <w:bCs/>
          <w:sz w:val="32"/>
          <w:szCs w:val="32"/>
          <w:lang w:eastAsia="zh-CN"/>
        </w:rPr>
        <w:t>新丰县工信局“十四五”规划</w:t>
      </w:r>
      <w:r>
        <w:rPr>
          <w:rFonts w:hint="eastAsia"/>
          <w:b/>
          <w:bCs/>
          <w:sz w:val="32"/>
          <w:szCs w:val="32"/>
          <w:lang w:val="en-US" w:eastAsia="zh-CN"/>
        </w:rPr>
        <w:t>发展指标</w:t>
      </w:r>
      <w:r>
        <w:rPr>
          <w:rFonts w:hint="eastAsia"/>
          <w:b/>
          <w:bCs/>
          <w:sz w:val="32"/>
          <w:szCs w:val="32"/>
          <w:lang w:eastAsia="zh-CN"/>
        </w:rPr>
        <w:t>表</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2"/>
        <w:gridCol w:w="4529"/>
        <w:gridCol w:w="1112"/>
        <w:gridCol w:w="113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3" w:hRule="atLeast"/>
          <w:tblHeader/>
          <w:jc w:val="center"/>
        </w:trPr>
        <w:tc>
          <w:tcPr>
            <w:tcW w:w="8892" w:type="dxa"/>
            <w:gridSpan w:val="5"/>
            <w:vAlign w:val="center"/>
          </w:tcPr>
          <w:p>
            <w:pPr>
              <w:widowControl/>
              <w:jc w:val="center"/>
              <w:rPr>
                <w:rFonts w:ascii="楷体" w:hAnsi="楷体" w:eastAsia="楷体" w:cs="楷体"/>
                <w:b/>
                <w:color w:val="000000"/>
                <w:sz w:val="28"/>
                <w:szCs w:val="28"/>
              </w:rPr>
            </w:pPr>
            <w:r>
              <w:rPr>
                <w:rFonts w:hint="eastAsia" w:ascii="楷体" w:hAnsi="楷体" w:eastAsia="楷体" w:cs="楷体"/>
                <w:b/>
                <w:bCs/>
                <w:color w:val="000000"/>
                <w:sz w:val="28"/>
                <w:szCs w:val="28"/>
              </w:rPr>
              <w:t>新丰县“十四五”工业发展目标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48" w:hRule="atLeast"/>
          <w:tblHeader/>
          <w:jc w:val="center"/>
        </w:trPr>
        <w:tc>
          <w:tcPr>
            <w:tcW w:w="1172" w:type="dxa"/>
            <w:vAlign w:val="center"/>
          </w:tcPr>
          <w:p>
            <w:pPr>
              <w:widowControl/>
              <w:ind w:left="0" w:leftChars="0" w:right="-160" w:rightChars="-50" w:firstLine="0" w:firstLineChars="0"/>
              <w:jc w:val="center"/>
              <w:rPr>
                <w:rFonts w:ascii="楷体" w:hAnsi="楷体" w:eastAsia="楷体" w:cs="楷体"/>
                <w:b/>
                <w:color w:val="000000"/>
                <w:sz w:val="24"/>
                <w:szCs w:val="24"/>
              </w:rPr>
            </w:pPr>
            <w:r>
              <w:rPr>
                <w:rFonts w:hint="eastAsia" w:ascii="楷体" w:hAnsi="楷体" w:eastAsia="楷体" w:cs="楷体"/>
                <w:b/>
                <w:color w:val="000000"/>
                <w:sz w:val="24"/>
                <w:szCs w:val="24"/>
              </w:rPr>
              <w:t>类别</w:t>
            </w:r>
          </w:p>
        </w:tc>
        <w:tc>
          <w:tcPr>
            <w:tcW w:w="4529" w:type="dxa"/>
            <w:vAlign w:val="center"/>
          </w:tcPr>
          <w:p>
            <w:pPr>
              <w:widowControl/>
              <w:ind w:left="0" w:leftChars="0" w:right="-160" w:rightChars="-50" w:firstLine="0" w:firstLineChars="0"/>
              <w:jc w:val="center"/>
              <w:rPr>
                <w:rFonts w:ascii="楷体" w:hAnsi="楷体" w:eastAsia="楷体" w:cs="楷体"/>
                <w:b/>
                <w:color w:val="000000"/>
                <w:sz w:val="24"/>
                <w:szCs w:val="24"/>
              </w:rPr>
            </w:pPr>
            <w:r>
              <w:rPr>
                <w:rFonts w:hint="eastAsia" w:ascii="楷体" w:hAnsi="楷体" w:eastAsia="楷体" w:cs="楷体"/>
                <w:b/>
                <w:color w:val="000000"/>
                <w:sz w:val="24"/>
                <w:szCs w:val="24"/>
              </w:rPr>
              <w:t>指 标</w:t>
            </w:r>
          </w:p>
        </w:tc>
        <w:tc>
          <w:tcPr>
            <w:tcW w:w="1112" w:type="dxa"/>
            <w:vAlign w:val="center"/>
          </w:tcPr>
          <w:p>
            <w:pPr>
              <w:widowControl/>
              <w:ind w:left="0" w:leftChars="0" w:right="-160" w:rightChars="-50" w:firstLine="0" w:firstLineChars="0"/>
              <w:jc w:val="center"/>
              <w:rPr>
                <w:rFonts w:ascii="楷体" w:hAnsi="楷体" w:eastAsia="楷体" w:cs="楷体"/>
                <w:b/>
                <w:color w:val="000000"/>
                <w:sz w:val="24"/>
                <w:szCs w:val="24"/>
              </w:rPr>
            </w:pPr>
            <w:r>
              <w:rPr>
                <w:rFonts w:hint="eastAsia" w:ascii="楷体" w:hAnsi="楷体" w:eastAsia="楷体" w:cs="楷体"/>
                <w:b/>
                <w:color w:val="000000"/>
                <w:sz w:val="24"/>
                <w:szCs w:val="24"/>
              </w:rPr>
              <w:t>2019年</w:t>
            </w:r>
          </w:p>
          <w:p>
            <w:pPr>
              <w:widowControl/>
              <w:ind w:left="0" w:leftChars="0" w:right="-160" w:rightChars="-50" w:firstLine="0" w:firstLineChars="0"/>
              <w:jc w:val="center"/>
              <w:rPr>
                <w:rFonts w:ascii="楷体" w:hAnsi="楷体" w:eastAsia="楷体" w:cs="楷体"/>
                <w:b/>
                <w:color w:val="000000"/>
                <w:sz w:val="24"/>
                <w:szCs w:val="24"/>
              </w:rPr>
            </w:pPr>
            <w:r>
              <w:rPr>
                <w:rFonts w:hint="eastAsia" w:ascii="楷体" w:hAnsi="楷体" w:eastAsia="楷体" w:cs="楷体"/>
                <w:b/>
                <w:color w:val="000000"/>
                <w:sz w:val="24"/>
                <w:szCs w:val="24"/>
              </w:rPr>
              <w:t>现状</w:t>
            </w:r>
          </w:p>
        </w:tc>
        <w:tc>
          <w:tcPr>
            <w:tcW w:w="1132" w:type="dxa"/>
            <w:vAlign w:val="center"/>
          </w:tcPr>
          <w:p>
            <w:pPr>
              <w:widowControl/>
              <w:ind w:left="0" w:leftChars="0" w:right="-160" w:rightChars="-50" w:firstLine="0" w:firstLineChars="0"/>
              <w:jc w:val="center"/>
              <w:rPr>
                <w:rFonts w:ascii="楷体" w:hAnsi="楷体" w:eastAsia="楷体" w:cs="楷体"/>
                <w:b/>
                <w:color w:val="000000"/>
                <w:sz w:val="24"/>
                <w:szCs w:val="24"/>
              </w:rPr>
            </w:pPr>
            <w:r>
              <w:rPr>
                <w:rFonts w:hint="eastAsia" w:ascii="楷体" w:hAnsi="楷体" w:eastAsia="楷体" w:cs="楷体"/>
                <w:b/>
                <w:color w:val="000000"/>
                <w:sz w:val="24"/>
                <w:szCs w:val="24"/>
              </w:rPr>
              <w:t>2025年</w:t>
            </w:r>
          </w:p>
          <w:p>
            <w:pPr>
              <w:widowControl/>
              <w:ind w:left="0" w:leftChars="0" w:right="-160" w:rightChars="-50" w:firstLine="0" w:firstLineChars="0"/>
              <w:jc w:val="center"/>
              <w:rPr>
                <w:rFonts w:ascii="楷体" w:hAnsi="楷体" w:eastAsia="楷体" w:cs="楷体"/>
                <w:b/>
                <w:color w:val="000000"/>
                <w:sz w:val="24"/>
                <w:szCs w:val="24"/>
              </w:rPr>
            </w:pPr>
            <w:r>
              <w:rPr>
                <w:rFonts w:hint="eastAsia" w:ascii="楷体" w:hAnsi="楷体" w:eastAsia="楷体" w:cs="楷体"/>
                <w:b/>
                <w:color w:val="000000"/>
                <w:sz w:val="24"/>
                <w:szCs w:val="24"/>
              </w:rPr>
              <w:t>目标</w:t>
            </w:r>
          </w:p>
        </w:tc>
        <w:tc>
          <w:tcPr>
            <w:tcW w:w="947" w:type="dxa"/>
            <w:vAlign w:val="center"/>
          </w:tcPr>
          <w:p>
            <w:pPr>
              <w:widowControl/>
              <w:ind w:left="0" w:leftChars="0" w:firstLine="0" w:firstLineChars="0"/>
              <w:jc w:val="center"/>
              <w:rPr>
                <w:rFonts w:ascii="楷体" w:hAnsi="楷体" w:eastAsia="楷体" w:cs="楷体"/>
                <w:b/>
                <w:color w:val="000000"/>
                <w:sz w:val="24"/>
                <w:szCs w:val="24"/>
              </w:rPr>
            </w:pPr>
            <w:r>
              <w:rPr>
                <w:rFonts w:hint="eastAsia" w:ascii="楷体" w:hAnsi="楷体" w:eastAsia="楷体" w:cs="楷体"/>
                <w:b/>
                <w:color w:val="000000"/>
                <w:sz w:val="24"/>
                <w:szCs w:val="24"/>
              </w:rPr>
              <w:t>年均</w:t>
            </w:r>
          </w:p>
          <w:p>
            <w:pPr>
              <w:widowControl/>
              <w:ind w:left="0" w:leftChars="0" w:firstLine="0" w:firstLineChars="0"/>
              <w:jc w:val="center"/>
              <w:rPr>
                <w:rFonts w:ascii="楷体" w:hAnsi="楷体" w:eastAsia="楷体" w:cs="楷体"/>
                <w:b/>
                <w:color w:val="000000"/>
                <w:sz w:val="24"/>
                <w:szCs w:val="24"/>
              </w:rPr>
            </w:pPr>
            <w:r>
              <w:rPr>
                <w:rFonts w:hint="eastAsia" w:ascii="楷体" w:hAnsi="楷体" w:eastAsia="楷体" w:cs="楷体"/>
                <w:b/>
                <w:color w:val="000000"/>
                <w:sz w:val="24"/>
                <w:szCs w:val="24"/>
              </w:rPr>
              <w:t>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restart"/>
            <w:vAlign w:val="center"/>
          </w:tcPr>
          <w:p>
            <w:pPr>
              <w:widowControl/>
              <w:ind w:left="0" w:leftChars="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质量效益</w:t>
            </w:r>
          </w:p>
        </w:tc>
        <w:tc>
          <w:tcPr>
            <w:tcW w:w="4529" w:type="dxa"/>
            <w:vAlign w:val="center"/>
          </w:tcPr>
          <w:p>
            <w:pPr>
              <w:widowControl/>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工业增加值（亿元）</w:t>
            </w:r>
          </w:p>
        </w:tc>
        <w:tc>
          <w:tcPr>
            <w:tcW w:w="111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14.94</w:t>
            </w:r>
          </w:p>
        </w:tc>
        <w:tc>
          <w:tcPr>
            <w:tcW w:w="1132" w:type="dxa"/>
            <w:vAlign w:val="center"/>
          </w:tcPr>
          <w:p>
            <w:pPr>
              <w:widowControl/>
              <w:ind w:left="0" w:leftChars="0" w:right="-160" w:rightChars="-50" w:firstLine="0" w:firstLineChars="0"/>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rPr>
              <w:t>2</w:t>
            </w:r>
            <w:r>
              <w:rPr>
                <w:rFonts w:hint="eastAsia" w:ascii="楷体" w:hAnsi="楷体" w:eastAsia="楷体" w:cs="楷体"/>
                <w:color w:val="000000"/>
                <w:kern w:val="0"/>
                <w:sz w:val="24"/>
                <w:szCs w:val="24"/>
                <w:lang w:val="en-US" w:eastAsia="zh-CN"/>
              </w:rPr>
              <w:t>5</w:t>
            </w:r>
          </w:p>
        </w:tc>
        <w:tc>
          <w:tcPr>
            <w:tcW w:w="947"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continue"/>
            <w:vAlign w:val="center"/>
          </w:tcPr>
          <w:p>
            <w:pPr>
              <w:widowControl/>
              <w:jc w:val="center"/>
              <w:rPr>
                <w:rFonts w:ascii="楷体" w:hAnsi="楷体" w:eastAsia="楷体" w:cs="楷体"/>
                <w:color w:val="000000"/>
                <w:kern w:val="0"/>
                <w:sz w:val="24"/>
                <w:szCs w:val="24"/>
              </w:rPr>
            </w:pPr>
          </w:p>
        </w:tc>
        <w:tc>
          <w:tcPr>
            <w:tcW w:w="4529" w:type="dxa"/>
            <w:vAlign w:val="center"/>
          </w:tcPr>
          <w:p>
            <w:pPr>
              <w:widowControl/>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规模以上工业增加值（亿元）</w:t>
            </w:r>
          </w:p>
        </w:tc>
        <w:tc>
          <w:tcPr>
            <w:tcW w:w="111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12.18</w:t>
            </w:r>
          </w:p>
        </w:tc>
        <w:tc>
          <w:tcPr>
            <w:tcW w:w="1132" w:type="dxa"/>
            <w:vAlign w:val="center"/>
          </w:tcPr>
          <w:p>
            <w:pPr>
              <w:widowControl/>
              <w:ind w:left="0" w:leftChars="0" w:right="-160" w:rightChars="-50" w:firstLine="0" w:firstLineChars="0"/>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rPr>
              <w:t>2</w:t>
            </w:r>
            <w:r>
              <w:rPr>
                <w:rFonts w:hint="eastAsia" w:ascii="楷体" w:hAnsi="楷体" w:eastAsia="楷体" w:cs="楷体"/>
                <w:color w:val="000000"/>
                <w:kern w:val="0"/>
                <w:sz w:val="24"/>
                <w:szCs w:val="24"/>
                <w:lang w:val="en-US" w:eastAsia="zh-CN"/>
              </w:rPr>
              <w:t>1</w:t>
            </w:r>
          </w:p>
        </w:tc>
        <w:tc>
          <w:tcPr>
            <w:tcW w:w="947"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continue"/>
            <w:vAlign w:val="center"/>
          </w:tcPr>
          <w:p>
            <w:pPr>
              <w:widowControl/>
              <w:jc w:val="center"/>
              <w:rPr>
                <w:rFonts w:ascii="楷体" w:hAnsi="楷体" w:eastAsia="楷体" w:cs="楷体"/>
                <w:color w:val="000000"/>
                <w:kern w:val="0"/>
                <w:sz w:val="24"/>
                <w:szCs w:val="24"/>
              </w:rPr>
            </w:pPr>
          </w:p>
        </w:tc>
        <w:tc>
          <w:tcPr>
            <w:tcW w:w="4529" w:type="dxa"/>
            <w:vAlign w:val="center"/>
          </w:tcPr>
          <w:p>
            <w:pPr>
              <w:widowControl/>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规模以上工业总产值（亿元）</w:t>
            </w:r>
          </w:p>
        </w:tc>
        <w:tc>
          <w:tcPr>
            <w:tcW w:w="111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44.51</w:t>
            </w:r>
          </w:p>
        </w:tc>
        <w:tc>
          <w:tcPr>
            <w:tcW w:w="1132" w:type="dxa"/>
            <w:vAlign w:val="center"/>
          </w:tcPr>
          <w:p>
            <w:pPr>
              <w:widowControl/>
              <w:ind w:left="0" w:leftChars="0" w:right="-160" w:rightChars="-50" w:firstLine="0" w:firstLineChars="0"/>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rPr>
              <w:t>6</w:t>
            </w:r>
            <w:r>
              <w:rPr>
                <w:rFonts w:hint="eastAsia" w:ascii="楷体" w:hAnsi="楷体" w:eastAsia="楷体" w:cs="楷体"/>
                <w:color w:val="000000"/>
                <w:kern w:val="0"/>
                <w:sz w:val="24"/>
                <w:szCs w:val="24"/>
                <w:lang w:val="en-US" w:eastAsia="zh-CN"/>
              </w:rPr>
              <w:t>7</w:t>
            </w:r>
          </w:p>
        </w:tc>
        <w:tc>
          <w:tcPr>
            <w:tcW w:w="947"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0" w:hRule="atLeast"/>
          <w:jc w:val="center"/>
        </w:trPr>
        <w:tc>
          <w:tcPr>
            <w:tcW w:w="1172" w:type="dxa"/>
            <w:vMerge w:val="restart"/>
            <w:vAlign w:val="center"/>
          </w:tcPr>
          <w:p>
            <w:pPr>
              <w:widowControl/>
              <w:ind w:left="0" w:leftChars="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结构调整</w:t>
            </w:r>
          </w:p>
        </w:tc>
        <w:tc>
          <w:tcPr>
            <w:tcW w:w="4529" w:type="dxa"/>
            <w:vAlign w:val="center"/>
          </w:tcPr>
          <w:p>
            <w:pPr>
              <w:ind w:left="0" w:leftChars="0" w:firstLine="0" w:firstLineChars="0"/>
              <w:jc w:val="left"/>
              <w:rPr>
                <w:rFonts w:ascii="楷体" w:hAnsi="楷体" w:eastAsia="楷体" w:cs="楷体"/>
                <w:color w:val="FF0000"/>
                <w:kern w:val="0"/>
                <w:sz w:val="24"/>
                <w:szCs w:val="24"/>
              </w:rPr>
            </w:pPr>
            <w:r>
              <w:rPr>
                <w:rFonts w:hint="eastAsia" w:ascii="楷体" w:hAnsi="楷体" w:eastAsia="楷体" w:cs="楷体"/>
                <w:kern w:val="0"/>
                <w:sz w:val="24"/>
                <w:szCs w:val="24"/>
              </w:rPr>
              <w:t>先进装备制</w:t>
            </w:r>
            <w:r>
              <w:rPr>
                <w:rFonts w:hint="eastAsia" w:ascii="楷体" w:hAnsi="楷体" w:eastAsia="楷体" w:cs="楷体"/>
                <w:color w:val="000000"/>
                <w:kern w:val="0"/>
                <w:sz w:val="24"/>
                <w:szCs w:val="24"/>
              </w:rPr>
              <w:t>造业增加值占规模以上工业增加值的</w:t>
            </w:r>
            <w:r>
              <w:rPr>
                <w:rFonts w:hint="eastAsia" w:ascii="楷体" w:hAnsi="楷体" w:eastAsia="楷体" w:cs="楷体"/>
                <w:kern w:val="0"/>
                <w:sz w:val="24"/>
                <w:szCs w:val="24"/>
              </w:rPr>
              <w:t>比重（%）</w:t>
            </w:r>
          </w:p>
        </w:tc>
        <w:tc>
          <w:tcPr>
            <w:tcW w:w="1112" w:type="dxa"/>
            <w:vAlign w:val="center"/>
          </w:tcPr>
          <w:p>
            <w:pPr>
              <w:widowControl/>
              <w:ind w:left="0" w:leftChars="0" w:right="-160" w:rightChars="-50" w:firstLine="0" w:firstLineChars="0"/>
              <w:jc w:val="center"/>
              <w:rPr>
                <w:rFonts w:ascii="楷体" w:hAnsi="楷体" w:eastAsia="楷体" w:cs="楷体"/>
                <w:color w:val="FF0000"/>
                <w:kern w:val="0"/>
                <w:sz w:val="24"/>
                <w:szCs w:val="24"/>
              </w:rPr>
            </w:pPr>
            <w:r>
              <w:rPr>
                <w:rFonts w:hint="eastAsia" w:ascii="楷体" w:hAnsi="楷体" w:eastAsia="楷体" w:cs="楷体"/>
                <w:kern w:val="0"/>
                <w:sz w:val="24"/>
                <w:szCs w:val="24"/>
              </w:rPr>
              <w:t>4</w:t>
            </w:r>
          </w:p>
        </w:tc>
        <w:tc>
          <w:tcPr>
            <w:tcW w:w="1132" w:type="dxa"/>
            <w:vAlign w:val="center"/>
          </w:tcPr>
          <w:p>
            <w:pPr>
              <w:widowControl/>
              <w:ind w:left="0" w:leftChars="0" w:right="-160" w:rightChars="-50" w:firstLine="0" w:firstLineChars="0"/>
              <w:jc w:val="center"/>
              <w:rPr>
                <w:rFonts w:ascii="楷体" w:hAnsi="楷体" w:eastAsia="楷体" w:cs="楷体"/>
                <w:kern w:val="0"/>
                <w:sz w:val="24"/>
                <w:szCs w:val="24"/>
              </w:rPr>
            </w:pPr>
            <w:r>
              <w:rPr>
                <w:rFonts w:hint="eastAsia" w:ascii="楷体" w:hAnsi="楷体" w:eastAsia="楷体" w:cs="楷体"/>
                <w:kern w:val="0"/>
                <w:sz w:val="24"/>
                <w:szCs w:val="24"/>
              </w:rPr>
              <w:t>7</w:t>
            </w:r>
          </w:p>
        </w:tc>
        <w:tc>
          <w:tcPr>
            <w:tcW w:w="947" w:type="dxa"/>
            <w:vAlign w:val="center"/>
          </w:tcPr>
          <w:p>
            <w:pPr>
              <w:widowControl/>
              <w:ind w:left="0" w:leftChars="0" w:right="-160" w:rightChars="-50" w:firstLine="0" w:firstLineChars="0"/>
              <w:jc w:val="center"/>
              <w:rPr>
                <w:rFonts w:ascii="楷体" w:hAnsi="楷体" w:eastAsia="楷体" w:cs="楷体"/>
                <w:kern w:val="0"/>
                <w:sz w:val="24"/>
                <w:szCs w:val="24"/>
              </w:rPr>
            </w:pPr>
            <w:r>
              <w:rPr>
                <w:rFonts w:hint="eastAsia" w:ascii="楷体" w:hAnsi="楷体" w:eastAsia="楷体" w:cs="楷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0" w:hRule="atLeast"/>
          <w:jc w:val="center"/>
        </w:trPr>
        <w:tc>
          <w:tcPr>
            <w:tcW w:w="1172" w:type="dxa"/>
            <w:vMerge w:val="continue"/>
            <w:vAlign w:val="center"/>
          </w:tcPr>
          <w:p>
            <w:pPr>
              <w:jc w:val="center"/>
              <w:rPr>
                <w:rFonts w:ascii="楷体" w:hAnsi="楷体" w:eastAsia="楷体" w:cs="楷体"/>
                <w:color w:val="000000"/>
                <w:kern w:val="0"/>
                <w:sz w:val="24"/>
                <w:szCs w:val="24"/>
              </w:rPr>
            </w:pPr>
          </w:p>
        </w:tc>
        <w:tc>
          <w:tcPr>
            <w:tcW w:w="4529" w:type="dxa"/>
            <w:vAlign w:val="center"/>
          </w:tcPr>
          <w:p>
            <w:pPr>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高新技术产业增加值占规模以上工业增加值比重（%）</w:t>
            </w:r>
          </w:p>
        </w:tc>
        <w:tc>
          <w:tcPr>
            <w:tcW w:w="111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13.8</w:t>
            </w:r>
          </w:p>
        </w:tc>
        <w:tc>
          <w:tcPr>
            <w:tcW w:w="113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18</w:t>
            </w:r>
          </w:p>
        </w:tc>
        <w:tc>
          <w:tcPr>
            <w:tcW w:w="947"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continue"/>
            <w:vAlign w:val="center"/>
          </w:tcPr>
          <w:p>
            <w:pPr>
              <w:widowControl/>
              <w:jc w:val="center"/>
              <w:rPr>
                <w:rFonts w:ascii="楷体" w:hAnsi="楷体" w:eastAsia="楷体" w:cs="楷体"/>
                <w:color w:val="000000"/>
                <w:kern w:val="0"/>
                <w:sz w:val="24"/>
                <w:szCs w:val="24"/>
              </w:rPr>
            </w:pPr>
          </w:p>
        </w:tc>
        <w:tc>
          <w:tcPr>
            <w:tcW w:w="4529" w:type="dxa"/>
            <w:vAlign w:val="center"/>
          </w:tcPr>
          <w:p>
            <w:pPr>
              <w:widowControl/>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规模以上工业企业数量（家）</w:t>
            </w:r>
          </w:p>
        </w:tc>
        <w:tc>
          <w:tcPr>
            <w:tcW w:w="111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28</w:t>
            </w:r>
          </w:p>
        </w:tc>
        <w:tc>
          <w:tcPr>
            <w:tcW w:w="113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40</w:t>
            </w:r>
          </w:p>
        </w:tc>
        <w:tc>
          <w:tcPr>
            <w:tcW w:w="947"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continue"/>
            <w:vAlign w:val="center"/>
          </w:tcPr>
          <w:p>
            <w:pPr>
              <w:widowControl/>
              <w:jc w:val="center"/>
              <w:rPr>
                <w:rFonts w:ascii="楷体" w:hAnsi="楷体" w:eastAsia="楷体" w:cs="楷体"/>
                <w:color w:val="000000"/>
                <w:kern w:val="0"/>
                <w:sz w:val="24"/>
                <w:szCs w:val="24"/>
              </w:rPr>
            </w:pPr>
          </w:p>
        </w:tc>
        <w:tc>
          <w:tcPr>
            <w:tcW w:w="4529" w:type="dxa"/>
            <w:vAlign w:val="center"/>
          </w:tcPr>
          <w:p>
            <w:pPr>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营业务收入超10亿元工业企业（家）</w:t>
            </w:r>
          </w:p>
        </w:tc>
        <w:tc>
          <w:tcPr>
            <w:tcW w:w="111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947"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0" w:hRule="atLeast"/>
          <w:jc w:val="center"/>
        </w:trPr>
        <w:tc>
          <w:tcPr>
            <w:tcW w:w="1172" w:type="dxa"/>
            <w:vMerge w:val="restart"/>
            <w:vAlign w:val="center"/>
          </w:tcPr>
          <w:p>
            <w:pPr>
              <w:widowControl/>
              <w:ind w:left="0" w:leftChars="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创新发展</w:t>
            </w:r>
          </w:p>
        </w:tc>
        <w:tc>
          <w:tcPr>
            <w:tcW w:w="4529" w:type="dxa"/>
            <w:vAlign w:val="center"/>
          </w:tcPr>
          <w:p>
            <w:pPr>
              <w:widowControl/>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规模以上工业企业R&amp;D经费支出占</w:t>
            </w:r>
            <w:r>
              <w:rPr>
                <w:rFonts w:hint="default" w:ascii="楷体" w:hAnsi="楷体" w:eastAsia="楷体" w:cs="楷体"/>
                <w:color w:val="000000"/>
                <w:kern w:val="0"/>
                <w:sz w:val="24"/>
                <w:szCs w:val="24"/>
              </w:rPr>
              <w:t>地区生产总值比重</w:t>
            </w:r>
            <w:r>
              <w:rPr>
                <w:rFonts w:hint="eastAsia" w:ascii="楷体" w:hAnsi="楷体" w:eastAsia="楷体" w:cs="楷体"/>
                <w:color w:val="000000"/>
                <w:kern w:val="0"/>
                <w:sz w:val="24"/>
                <w:szCs w:val="24"/>
              </w:rPr>
              <w:t>（%）</w:t>
            </w:r>
          </w:p>
        </w:tc>
        <w:tc>
          <w:tcPr>
            <w:tcW w:w="1112" w:type="dxa"/>
            <w:vAlign w:val="center"/>
          </w:tcPr>
          <w:p>
            <w:pPr>
              <w:widowControl/>
              <w:ind w:left="0" w:leftChars="0" w:right="-160" w:rightChars="-50" w:firstLine="0" w:firstLineChars="0"/>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val="en-US" w:eastAsia="zh-CN"/>
              </w:rPr>
              <w:t>1</w:t>
            </w:r>
          </w:p>
        </w:tc>
        <w:tc>
          <w:tcPr>
            <w:tcW w:w="1132" w:type="dxa"/>
            <w:vAlign w:val="center"/>
          </w:tcPr>
          <w:p>
            <w:pPr>
              <w:widowControl/>
              <w:ind w:left="0" w:leftChars="0" w:right="-160" w:rightChars="-50" w:firstLine="0" w:firstLineChars="0"/>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1.5</w:t>
            </w:r>
          </w:p>
        </w:tc>
        <w:tc>
          <w:tcPr>
            <w:tcW w:w="947"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7</w:t>
            </w:r>
            <w:r>
              <w:rPr>
                <w:rFonts w:hint="eastAsia" w:ascii="楷体" w:hAnsi="楷体" w:eastAsia="楷体" w:cs="楷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continue"/>
            <w:vAlign w:val="center"/>
          </w:tcPr>
          <w:p>
            <w:pPr>
              <w:widowControl/>
              <w:jc w:val="center"/>
              <w:rPr>
                <w:rFonts w:ascii="楷体" w:hAnsi="楷体" w:eastAsia="楷体" w:cs="楷体"/>
                <w:color w:val="000000"/>
                <w:kern w:val="0"/>
                <w:sz w:val="24"/>
                <w:szCs w:val="24"/>
              </w:rPr>
            </w:pPr>
          </w:p>
        </w:tc>
        <w:tc>
          <w:tcPr>
            <w:tcW w:w="4529" w:type="dxa"/>
            <w:vAlign w:val="center"/>
          </w:tcPr>
          <w:p>
            <w:pPr>
              <w:widowControl/>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专利</w:t>
            </w:r>
            <w:r>
              <w:rPr>
                <w:rFonts w:hint="eastAsia" w:ascii="楷体" w:hAnsi="楷体" w:eastAsia="楷体" w:cs="楷体"/>
                <w:color w:val="000000"/>
                <w:kern w:val="0"/>
                <w:sz w:val="24"/>
                <w:szCs w:val="24"/>
                <w:lang w:eastAsia="zh-CN"/>
              </w:rPr>
              <w:t>申请</w:t>
            </w:r>
            <w:r>
              <w:rPr>
                <w:rFonts w:hint="eastAsia" w:ascii="楷体" w:hAnsi="楷体" w:eastAsia="楷体" w:cs="楷体"/>
                <w:color w:val="000000"/>
                <w:kern w:val="0"/>
                <w:sz w:val="24"/>
                <w:szCs w:val="24"/>
              </w:rPr>
              <w:t>量（件）</w:t>
            </w:r>
          </w:p>
        </w:tc>
        <w:tc>
          <w:tcPr>
            <w:tcW w:w="1112" w:type="dxa"/>
            <w:vAlign w:val="center"/>
          </w:tcPr>
          <w:p>
            <w:pPr>
              <w:widowControl/>
              <w:ind w:left="0" w:leftChars="0" w:right="-160" w:rightChars="-50" w:firstLine="0" w:firstLineChars="0"/>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212</w:t>
            </w:r>
          </w:p>
        </w:tc>
        <w:tc>
          <w:tcPr>
            <w:tcW w:w="1132" w:type="dxa"/>
            <w:vAlign w:val="center"/>
          </w:tcPr>
          <w:p>
            <w:pPr>
              <w:widowControl/>
              <w:ind w:left="0" w:leftChars="0" w:right="-160" w:rightChars="-50" w:firstLine="0" w:firstLineChars="0"/>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312</w:t>
            </w:r>
          </w:p>
        </w:tc>
        <w:tc>
          <w:tcPr>
            <w:tcW w:w="947" w:type="dxa"/>
            <w:vAlign w:val="center"/>
          </w:tcPr>
          <w:p>
            <w:pPr>
              <w:widowControl/>
              <w:ind w:left="0" w:leftChars="0" w:right="-160" w:rightChars="-50" w:firstLine="0" w:firstLineChars="0"/>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continue"/>
            <w:vAlign w:val="center"/>
          </w:tcPr>
          <w:p>
            <w:pPr>
              <w:widowControl/>
              <w:jc w:val="center"/>
              <w:rPr>
                <w:rFonts w:ascii="楷体" w:hAnsi="楷体" w:eastAsia="楷体" w:cs="楷体"/>
                <w:color w:val="000000"/>
                <w:kern w:val="0"/>
                <w:sz w:val="24"/>
                <w:szCs w:val="24"/>
              </w:rPr>
            </w:pPr>
          </w:p>
        </w:tc>
        <w:tc>
          <w:tcPr>
            <w:tcW w:w="4529" w:type="dxa"/>
            <w:vAlign w:val="center"/>
          </w:tcPr>
          <w:p>
            <w:pPr>
              <w:ind w:left="0" w:leftChars="0" w:firstLine="0" w:firstLineChars="0"/>
              <w:jc w:val="left"/>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rPr>
              <w:t>国家高新技术工业企业</w:t>
            </w:r>
          </w:p>
        </w:tc>
        <w:tc>
          <w:tcPr>
            <w:tcW w:w="1112" w:type="dxa"/>
            <w:vAlign w:val="center"/>
          </w:tcPr>
          <w:p>
            <w:pPr>
              <w:widowControl/>
              <w:ind w:left="0" w:leftChars="0" w:right="-160" w:rightChars="-50" w:firstLine="0" w:firstLineChars="0"/>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8</w:t>
            </w:r>
          </w:p>
        </w:tc>
        <w:tc>
          <w:tcPr>
            <w:tcW w:w="1132" w:type="dxa"/>
            <w:vAlign w:val="center"/>
          </w:tcPr>
          <w:p>
            <w:pPr>
              <w:widowControl/>
              <w:ind w:left="0" w:leftChars="0" w:right="-160" w:rightChars="-50" w:firstLine="0" w:firstLineChars="0"/>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18</w:t>
            </w:r>
          </w:p>
        </w:tc>
        <w:tc>
          <w:tcPr>
            <w:tcW w:w="947" w:type="dxa"/>
            <w:vAlign w:val="center"/>
          </w:tcPr>
          <w:p>
            <w:pPr>
              <w:widowControl/>
              <w:ind w:left="0" w:leftChars="0" w:right="-160" w:rightChars="-50" w:firstLine="0" w:firstLineChars="0"/>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continue"/>
            <w:vAlign w:val="center"/>
          </w:tcPr>
          <w:p>
            <w:pPr>
              <w:widowControl/>
              <w:jc w:val="center"/>
              <w:rPr>
                <w:rFonts w:ascii="楷体" w:hAnsi="楷体" w:eastAsia="楷体" w:cs="楷体"/>
                <w:color w:val="000000"/>
                <w:kern w:val="0"/>
                <w:sz w:val="24"/>
                <w:szCs w:val="24"/>
              </w:rPr>
            </w:pPr>
          </w:p>
        </w:tc>
        <w:tc>
          <w:tcPr>
            <w:tcW w:w="4529" w:type="dxa"/>
            <w:vAlign w:val="center"/>
          </w:tcPr>
          <w:p>
            <w:pPr>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科技</w:t>
            </w:r>
            <w:r>
              <w:rPr>
                <w:rFonts w:hint="eastAsia" w:ascii="楷体" w:hAnsi="楷体" w:eastAsia="楷体" w:cs="楷体"/>
                <w:color w:val="000000"/>
                <w:kern w:val="0"/>
                <w:sz w:val="24"/>
                <w:szCs w:val="24"/>
              </w:rPr>
              <w:t>创新平台（个）</w:t>
            </w:r>
          </w:p>
        </w:tc>
        <w:tc>
          <w:tcPr>
            <w:tcW w:w="1112" w:type="dxa"/>
            <w:vAlign w:val="center"/>
          </w:tcPr>
          <w:p>
            <w:pPr>
              <w:widowControl/>
              <w:ind w:left="0" w:leftChars="0" w:right="-160" w:rightChars="-50" w:firstLine="0" w:firstLineChars="0"/>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11</w:t>
            </w:r>
          </w:p>
        </w:tc>
        <w:tc>
          <w:tcPr>
            <w:tcW w:w="1132" w:type="dxa"/>
            <w:vAlign w:val="center"/>
          </w:tcPr>
          <w:p>
            <w:pPr>
              <w:widowControl/>
              <w:ind w:left="0" w:leftChars="0" w:right="-160" w:rightChars="-50" w:firstLine="0" w:firstLineChars="0"/>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21</w:t>
            </w:r>
          </w:p>
        </w:tc>
        <w:tc>
          <w:tcPr>
            <w:tcW w:w="947" w:type="dxa"/>
            <w:vAlign w:val="center"/>
          </w:tcPr>
          <w:p>
            <w:pPr>
              <w:widowControl/>
              <w:ind w:left="0" w:leftChars="0" w:right="-160" w:rightChars="-50" w:firstLine="0" w:firstLineChars="0"/>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restart"/>
            <w:vAlign w:val="center"/>
          </w:tcPr>
          <w:p>
            <w:pPr>
              <w:widowControl/>
              <w:ind w:left="0" w:leftChars="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融合发展</w:t>
            </w:r>
          </w:p>
        </w:tc>
        <w:tc>
          <w:tcPr>
            <w:tcW w:w="4529" w:type="dxa"/>
            <w:vAlign w:val="center"/>
          </w:tcPr>
          <w:p>
            <w:pPr>
              <w:widowControl/>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两化融合贯标企业数量（家）</w:t>
            </w:r>
          </w:p>
        </w:tc>
        <w:tc>
          <w:tcPr>
            <w:tcW w:w="111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w:t>
            </w:r>
          </w:p>
        </w:tc>
        <w:tc>
          <w:tcPr>
            <w:tcW w:w="1132" w:type="dxa"/>
            <w:vAlign w:val="center"/>
          </w:tcPr>
          <w:p>
            <w:pPr>
              <w:widowControl/>
              <w:ind w:left="0" w:leftChars="0" w:right="-160" w:rightChars="-50" w:firstLine="0" w:firstLineChars="0"/>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947" w:type="dxa"/>
            <w:vAlign w:val="center"/>
          </w:tcPr>
          <w:p>
            <w:pPr>
              <w:widowControl/>
              <w:ind w:left="0" w:leftChars="0" w:right="-160" w:rightChars="-5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172" w:type="dxa"/>
            <w:vMerge w:val="continue"/>
            <w:vAlign w:val="center"/>
          </w:tcPr>
          <w:p>
            <w:pPr>
              <w:widowControl/>
              <w:jc w:val="center"/>
              <w:rPr>
                <w:rFonts w:ascii="楷体" w:hAnsi="楷体" w:eastAsia="楷体" w:cs="楷体"/>
                <w:color w:val="000000"/>
                <w:kern w:val="0"/>
                <w:sz w:val="24"/>
                <w:szCs w:val="24"/>
              </w:rPr>
            </w:pPr>
          </w:p>
        </w:tc>
        <w:tc>
          <w:tcPr>
            <w:tcW w:w="4529" w:type="dxa"/>
            <w:vAlign w:val="center"/>
          </w:tcPr>
          <w:p>
            <w:pPr>
              <w:widowControl/>
              <w:ind w:left="0" w:leftChars="0" w:firstLine="0" w:firstLineChars="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数字化研发设计工具普及率（%）</w:t>
            </w:r>
          </w:p>
        </w:tc>
        <w:tc>
          <w:tcPr>
            <w:tcW w:w="1112" w:type="dxa"/>
            <w:vAlign w:val="center"/>
          </w:tcPr>
          <w:p>
            <w:pPr>
              <w:widowControl/>
              <w:ind w:left="0" w:leftChars="0" w:right="-160" w:rightChars="-50" w:firstLine="0" w:firstLineChars="0"/>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w:t>
            </w:r>
          </w:p>
        </w:tc>
        <w:tc>
          <w:tcPr>
            <w:tcW w:w="1132" w:type="dxa"/>
            <w:vAlign w:val="center"/>
          </w:tcPr>
          <w:p>
            <w:pPr>
              <w:widowControl/>
              <w:ind w:left="0" w:leftChars="0" w:right="-160" w:rightChars="-50" w:firstLine="0" w:firstLineChars="0"/>
              <w:jc w:val="center"/>
              <w:rPr>
                <w:rFonts w:ascii="楷体" w:hAnsi="楷体" w:eastAsia="楷体" w:cs="楷体"/>
                <w:kern w:val="0"/>
                <w:sz w:val="24"/>
                <w:szCs w:val="24"/>
              </w:rPr>
            </w:pPr>
            <w:r>
              <w:rPr>
                <w:rFonts w:hint="eastAsia" w:ascii="楷体" w:hAnsi="楷体" w:eastAsia="楷体" w:cs="楷体"/>
                <w:kern w:val="0"/>
                <w:sz w:val="24"/>
                <w:szCs w:val="24"/>
              </w:rPr>
              <w:t>60</w:t>
            </w:r>
          </w:p>
        </w:tc>
        <w:tc>
          <w:tcPr>
            <w:tcW w:w="947" w:type="dxa"/>
            <w:vAlign w:val="center"/>
          </w:tcPr>
          <w:p>
            <w:pPr>
              <w:widowControl/>
              <w:ind w:left="0" w:leftChars="0" w:right="-160" w:rightChars="-5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jc w:val="center"/>
        </w:trPr>
        <w:tc>
          <w:tcPr>
            <w:tcW w:w="1172" w:type="dxa"/>
            <w:vAlign w:val="center"/>
          </w:tcPr>
          <w:p>
            <w:pPr>
              <w:widowControl/>
              <w:ind w:left="0" w:leftChars="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绿色发展</w:t>
            </w:r>
          </w:p>
        </w:tc>
        <w:tc>
          <w:tcPr>
            <w:tcW w:w="4529" w:type="dxa"/>
            <w:vAlign w:val="center"/>
          </w:tcPr>
          <w:p>
            <w:pPr>
              <w:widowControl/>
              <w:ind w:left="0" w:leftChars="0" w:firstLine="0" w:firstLineChars="0"/>
              <w:jc w:val="left"/>
              <w:rPr>
                <w:rFonts w:ascii="楷体" w:hAnsi="楷体" w:eastAsia="楷体" w:cs="楷体"/>
                <w:color w:val="000000"/>
                <w:kern w:val="0"/>
                <w:sz w:val="24"/>
                <w:szCs w:val="24"/>
              </w:rPr>
            </w:pPr>
            <w:r>
              <w:rPr>
                <w:rFonts w:hint="eastAsia" w:ascii="楷体" w:hAnsi="楷体" w:eastAsia="楷体" w:cs="楷体"/>
                <w:sz w:val="24"/>
                <w:szCs w:val="24"/>
              </w:rPr>
              <w:t>危险废物无害化处置率</w:t>
            </w:r>
            <w:r>
              <w:rPr>
                <w:rFonts w:hint="eastAsia" w:ascii="楷体" w:hAnsi="楷体" w:eastAsia="楷体" w:cs="楷体"/>
                <w:color w:val="000000"/>
                <w:kern w:val="0"/>
                <w:sz w:val="24"/>
                <w:szCs w:val="24"/>
              </w:rPr>
              <w:t>（%）</w:t>
            </w:r>
          </w:p>
        </w:tc>
        <w:tc>
          <w:tcPr>
            <w:tcW w:w="1112" w:type="dxa"/>
            <w:vAlign w:val="center"/>
          </w:tcPr>
          <w:p>
            <w:pPr>
              <w:widowControl/>
              <w:ind w:left="0" w:leftChars="0" w:right="-160" w:rightChars="-50" w:firstLine="0" w:firstLineChars="0"/>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w:t>
            </w:r>
          </w:p>
        </w:tc>
        <w:tc>
          <w:tcPr>
            <w:tcW w:w="1132" w:type="dxa"/>
            <w:vAlign w:val="center"/>
          </w:tcPr>
          <w:p>
            <w:pPr>
              <w:widowControl/>
              <w:ind w:left="0" w:leftChars="0" w:right="-160" w:rightChars="-50" w:firstLine="0" w:firstLineChars="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95</w:t>
            </w:r>
          </w:p>
        </w:tc>
        <w:tc>
          <w:tcPr>
            <w:tcW w:w="947" w:type="dxa"/>
            <w:vAlign w:val="center"/>
          </w:tcPr>
          <w:p>
            <w:pPr>
              <w:widowControl/>
              <w:ind w:left="0" w:leftChars="0" w:right="-160" w:rightChars="-50" w:firstLine="0" w:firstLineChars="0"/>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w:t>
            </w:r>
          </w:p>
        </w:tc>
      </w:tr>
    </w:tbl>
    <w:p>
      <w:pPr>
        <w:pStyle w:val="14"/>
        <w:rPr>
          <w:rFonts w:hint="eastAsia"/>
        </w:rPr>
        <w:sectPr>
          <w:pgSz w:w="11906" w:h="16838"/>
          <w:pgMar w:top="2041" w:right="1474" w:bottom="1134" w:left="1587" w:header="851" w:footer="1474" w:gutter="0"/>
          <w:pgNumType w:fmt="decimal"/>
          <w:cols w:space="425" w:num="1"/>
          <w:docGrid w:type="lines" w:linePitch="312" w:charSpace="0"/>
        </w:sectPr>
      </w:pPr>
    </w:p>
    <w:p>
      <w:pPr>
        <w:ind w:firstLine="0" w:firstLineChars="0"/>
        <w:jc w:val="center"/>
        <w:rPr>
          <w:rFonts w:hint="default"/>
          <w:b/>
          <w:bCs/>
          <w:sz w:val="32"/>
          <w:szCs w:val="32"/>
          <w:lang w:eastAsia="zh-CN"/>
        </w:rPr>
      </w:pPr>
      <w:r>
        <w:rPr>
          <w:rFonts w:hint="default"/>
          <w:b/>
          <w:bCs/>
          <w:sz w:val="32"/>
          <w:szCs w:val="32"/>
          <w:lang w:eastAsia="zh-CN"/>
        </w:rPr>
        <w:t>附件</w:t>
      </w:r>
      <w:r>
        <w:rPr>
          <w:rFonts w:hint="eastAsia"/>
          <w:b/>
          <w:bCs/>
          <w:sz w:val="32"/>
          <w:szCs w:val="32"/>
          <w:lang w:val="en-US" w:eastAsia="zh-CN"/>
        </w:rPr>
        <w:t>2</w:t>
      </w:r>
      <w:r>
        <w:rPr>
          <w:rFonts w:hint="default"/>
          <w:b/>
          <w:bCs/>
          <w:sz w:val="32"/>
          <w:szCs w:val="32"/>
          <w:lang w:eastAsia="zh-CN"/>
        </w:rPr>
        <w:t xml:space="preserve"> </w:t>
      </w:r>
      <w:r>
        <w:rPr>
          <w:rFonts w:hint="eastAsia"/>
          <w:b/>
          <w:bCs/>
          <w:sz w:val="32"/>
          <w:szCs w:val="32"/>
          <w:lang w:eastAsia="zh-CN"/>
        </w:rPr>
        <w:t>新丰县工信局“十四五”规划重点建设项目安排表</w:t>
      </w:r>
    </w:p>
    <w:tbl>
      <w:tblPr>
        <w:tblStyle w:val="15"/>
        <w:tblW w:w="14828" w:type="dxa"/>
        <w:jc w:val="center"/>
        <w:shd w:val="clear" w:color="auto" w:fill="auto"/>
        <w:tblLayout w:type="fixed"/>
        <w:tblCellMar>
          <w:top w:w="0" w:type="dxa"/>
          <w:left w:w="0" w:type="dxa"/>
          <w:bottom w:w="0" w:type="dxa"/>
          <w:right w:w="0" w:type="dxa"/>
        </w:tblCellMar>
      </w:tblPr>
      <w:tblGrid>
        <w:gridCol w:w="625"/>
        <w:gridCol w:w="2183"/>
        <w:gridCol w:w="2717"/>
        <w:gridCol w:w="1033"/>
        <w:gridCol w:w="783"/>
        <w:gridCol w:w="1153"/>
        <w:gridCol w:w="1268"/>
        <w:gridCol w:w="1533"/>
        <w:gridCol w:w="1472"/>
        <w:gridCol w:w="1128"/>
        <w:gridCol w:w="933"/>
      </w:tblGrid>
      <w:tr>
        <w:tblPrEx>
          <w:shd w:val="clear" w:color="auto" w:fill="auto"/>
          <w:tblCellMar>
            <w:top w:w="0" w:type="dxa"/>
            <w:left w:w="0" w:type="dxa"/>
            <w:bottom w:w="0" w:type="dxa"/>
            <w:right w:w="0" w:type="dxa"/>
          </w:tblCellMar>
        </w:tblPrEx>
        <w:trPr>
          <w:trHeight w:val="1320" w:hRule="atLeast"/>
          <w:tblHeader/>
          <w:jc w:val="center"/>
        </w:trPr>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序号</w:t>
            </w:r>
          </w:p>
        </w:tc>
        <w:tc>
          <w:tcPr>
            <w:tcW w:w="218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项目名称</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建设规模</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kern w:val="0"/>
                <w:sz w:val="28"/>
                <w:szCs w:val="28"/>
                <w:u w:val="none"/>
                <w:lang w:val="en-US" w:eastAsia="zh-CN" w:bidi="ar"/>
              </w:rPr>
            </w:pPr>
            <w:r>
              <w:rPr>
                <w:rFonts w:hint="eastAsia" w:ascii="Times New Roman" w:hAnsi="Times New Roman" w:eastAsia="仿宋" w:cs="楷体"/>
                <w:b/>
                <w:i w:val="0"/>
                <w:color w:val="000000"/>
                <w:kern w:val="0"/>
                <w:sz w:val="28"/>
                <w:szCs w:val="28"/>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年限</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建设阶段</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总投资（万元）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2020年完成投资（万元）</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2021年预计完成投资（万元）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“十四五”期间投资（万元）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建设用地规模（亩）</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楷体"/>
                <w:b/>
                <w:i w:val="0"/>
                <w:color w:val="000000"/>
                <w:sz w:val="28"/>
                <w:szCs w:val="28"/>
                <w:u w:val="none"/>
              </w:rPr>
            </w:pPr>
            <w:r>
              <w:rPr>
                <w:rFonts w:hint="eastAsia" w:ascii="Times New Roman" w:hAnsi="Times New Roman" w:eastAsia="仿宋" w:cs="楷体"/>
                <w:b/>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1200"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1</w:t>
            </w:r>
          </w:p>
        </w:tc>
        <w:tc>
          <w:tcPr>
            <w:tcW w:w="2183" w:type="dxa"/>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南方（韶关）智能网联新能源汽车试验检测中心项目</w:t>
            </w:r>
          </w:p>
        </w:tc>
        <w:tc>
          <w:tcPr>
            <w:tcW w:w="27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建设汽车智能测试场、汽车主题公园、汽车营地、赛车场</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2019-2025</w:t>
            </w:r>
          </w:p>
        </w:tc>
        <w:tc>
          <w:tcPr>
            <w:tcW w:w="7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续建</w:t>
            </w:r>
          </w:p>
        </w:tc>
        <w:tc>
          <w:tcPr>
            <w:tcW w:w="115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FF0000"/>
                <w:sz w:val="22"/>
                <w:szCs w:val="22"/>
                <w:u w:val="none"/>
              </w:rPr>
            </w:pPr>
            <w:r>
              <w:rPr>
                <w:rFonts w:hint="default" w:ascii="Times New Roman" w:hAnsi="Times New Roman" w:eastAsia="仿宋" w:cs="仿宋_GB2312"/>
                <w:i w:val="0"/>
                <w:color w:val="auto"/>
                <w:kern w:val="0"/>
                <w:sz w:val="22"/>
                <w:szCs w:val="22"/>
                <w:u w:val="none"/>
                <w:shd w:val="clear"/>
                <w:lang w:val="en-US" w:eastAsia="zh-CN" w:bidi="ar"/>
              </w:rPr>
              <w:t>21.5亿元（不含实验室及设备投资31亿）</w:t>
            </w:r>
          </w:p>
        </w:tc>
        <w:tc>
          <w:tcPr>
            <w:tcW w:w="1268"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20000.00</w:t>
            </w:r>
          </w:p>
        </w:tc>
        <w:tc>
          <w:tcPr>
            <w:tcW w:w="1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35000.00</w:t>
            </w:r>
          </w:p>
        </w:tc>
        <w:tc>
          <w:tcPr>
            <w:tcW w:w="1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177000.00</w:t>
            </w:r>
          </w:p>
        </w:tc>
        <w:tc>
          <w:tcPr>
            <w:tcW w:w="11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2098.00</w:t>
            </w:r>
          </w:p>
        </w:tc>
        <w:tc>
          <w:tcPr>
            <w:tcW w:w="9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1190" w:hRule="atLeast"/>
          <w:jc w:val="center"/>
        </w:trPr>
        <w:tc>
          <w:tcPr>
            <w:tcW w:w="6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韶关新盟食品有限公司新丰生产基地</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建设5间厂房，1栋员工宿舍，8条饼干生产线，年产量2万吨</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2019-2021</w:t>
            </w:r>
          </w:p>
        </w:tc>
        <w:tc>
          <w:tcPr>
            <w:tcW w:w="7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续建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36000.00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16000.00</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b/>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b/>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145.00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b/>
                <w:i w:val="0"/>
                <w:color w:val="000000"/>
                <w:sz w:val="22"/>
                <w:szCs w:val="22"/>
                <w:u w:val="none"/>
              </w:rPr>
            </w:pPr>
          </w:p>
        </w:tc>
      </w:tr>
      <w:tr>
        <w:tblPrEx>
          <w:tblCellMar>
            <w:top w:w="0" w:type="dxa"/>
            <w:left w:w="0" w:type="dxa"/>
            <w:bottom w:w="0" w:type="dxa"/>
            <w:right w:w="0" w:type="dxa"/>
          </w:tblCellMar>
        </w:tblPrEx>
        <w:trPr>
          <w:trHeight w:val="851" w:hRule="atLeast"/>
          <w:jc w:val="center"/>
        </w:trPr>
        <w:tc>
          <w:tcPr>
            <w:tcW w:w="6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3</w:t>
            </w:r>
          </w:p>
        </w:tc>
        <w:tc>
          <w:tcPr>
            <w:tcW w:w="21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广兴牧业（新丰）增资扩产项目</w:t>
            </w:r>
          </w:p>
        </w:tc>
        <w:tc>
          <w:tcPr>
            <w:tcW w:w="27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占地面积162亩，建设用地面积97亩</w:t>
            </w:r>
          </w:p>
        </w:tc>
        <w:tc>
          <w:tcPr>
            <w:tcW w:w="10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2017-2021</w:t>
            </w:r>
          </w:p>
        </w:tc>
        <w:tc>
          <w:tcPr>
            <w:tcW w:w="7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续建</w:t>
            </w:r>
          </w:p>
        </w:tc>
        <w:tc>
          <w:tcPr>
            <w:tcW w:w="11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30000</w:t>
            </w: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13000.00</w:t>
            </w:r>
          </w:p>
        </w:tc>
        <w:tc>
          <w:tcPr>
            <w:tcW w:w="15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4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97.00</w:t>
            </w:r>
          </w:p>
        </w:tc>
        <w:tc>
          <w:tcPr>
            <w:tcW w:w="9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1414"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4</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新丰县世博玖钢项目</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项目占地面积约60亩，其中建设用地面积约60亩，建设内容包括8条生产线厂区、办公楼及宿舍楼各一栋。</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2019-2021</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续建</w:t>
            </w:r>
          </w:p>
        </w:tc>
        <w:tc>
          <w:tcPr>
            <w:tcW w:w="1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12000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5000.00</w:t>
            </w:r>
          </w:p>
        </w:tc>
        <w:tc>
          <w:tcPr>
            <w:tcW w:w="1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3000.00</w:t>
            </w:r>
          </w:p>
        </w:tc>
        <w:tc>
          <w:tcPr>
            <w:tcW w:w="1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3000.00</w:t>
            </w:r>
          </w:p>
        </w:tc>
        <w:tc>
          <w:tcPr>
            <w:tcW w:w="11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64.00</w:t>
            </w:r>
          </w:p>
        </w:tc>
        <w:tc>
          <w:tcPr>
            <w:tcW w:w="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1800" w:hRule="atLeast"/>
          <w:jc w:val="center"/>
        </w:trPr>
        <w:tc>
          <w:tcPr>
            <w:tcW w:w="6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5</w:t>
            </w:r>
          </w:p>
        </w:tc>
        <w:tc>
          <w:tcPr>
            <w:tcW w:w="218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新丰佰旺高性能汽车配件生产基地项目</w:t>
            </w:r>
          </w:p>
        </w:tc>
        <w:tc>
          <w:tcPr>
            <w:tcW w:w="27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项目占地面积32亩，计划建筑面积42901.41平方米，拟新建产品研发办公大楼、生产车间、质检车间、产品仓库等。</w:t>
            </w:r>
          </w:p>
        </w:tc>
        <w:tc>
          <w:tcPr>
            <w:tcW w:w="103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2019-2024</w:t>
            </w:r>
          </w:p>
        </w:tc>
        <w:tc>
          <w:tcPr>
            <w:tcW w:w="783"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续建</w:t>
            </w:r>
          </w:p>
        </w:tc>
        <w:tc>
          <w:tcPr>
            <w:tcW w:w="115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6000.00</w:t>
            </w:r>
          </w:p>
        </w:tc>
        <w:tc>
          <w:tcPr>
            <w:tcW w:w="12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2000.00</w:t>
            </w:r>
          </w:p>
        </w:tc>
        <w:tc>
          <w:tcPr>
            <w:tcW w:w="153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2000.00</w:t>
            </w:r>
          </w:p>
        </w:tc>
        <w:tc>
          <w:tcPr>
            <w:tcW w:w="14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2000.00</w:t>
            </w:r>
          </w:p>
        </w:tc>
        <w:tc>
          <w:tcPr>
            <w:tcW w:w="11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32.00</w:t>
            </w:r>
          </w:p>
        </w:tc>
        <w:tc>
          <w:tcPr>
            <w:tcW w:w="93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1020"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美尼美家具厂项目</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年产30万套定制家具</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2020-2021</w:t>
            </w:r>
          </w:p>
        </w:tc>
        <w:tc>
          <w:tcPr>
            <w:tcW w:w="7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续建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25000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黑体_GBK"/>
                <w:i w:val="0"/>
                <w:color w:val="000000"/>
                <w:sz w:val="20"/>
                <w:szCs w:val="20"/>
                <w:u w:val="none"/>
              </w:rPr>
            </w:pPr>
            <w:r>
              <w:rPr>
                <w:rFonts w:hint="eastAsia" w:ascii="Times New Roman" w:hAnsi="Times New Roman" w:eastAsia="仿宋" w:cs="方正黑体_GBK"/>
                <w:i w:val="0"/>
                <w:color w:val="000000"/>
                <w:kern w:val="0"/>
                <w:sz w:val="20"/>
                <w:szCs w:val="20"/>
                <w:u w:val="none"/>
                <w:lang w:val="en-US" w:eastAsia="zh-CN" w:bidi="ar"/>
              </w:rPr>
              <w:t>3000.00</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黑体_GBK"/>
                <w:i w:val="0"/>
                <w:color w:val="000000"/>
                <w:sz w:val="20"/>
                <w:szCs w:val="20"/>
                <w:u w:val="none"/>
              </w:rPr>
            </w:pPr>
            <w:r>
              <w:rPr>
                <w:rFonts w:hint="eastAsia" w:ascii="Times New Roman" w:hAnsi="Times New Roman" w:eastAsia="仿宋" w:cs="方正黑体_GBK"/>
                <w:i w:val="0"/>
                <w:color w:val="000000"/>
                <w:kern w:val="0"/>
                <w:sz w:val="20"/>
                <w:szCs w:val="20"/>
                <w:u w:val="none"/>
                <w:lang w:val="en-US" w:eastAsia="zh-CN" w:bidi="ar"/>
              </w:rPr>
              <w:t>10000.00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黑体_GBK"/>
                <w:i w:val="0"/>
                <w:color w:val="000000"/>
                <w:sz w:val="20"/>
                <w:szCs w:val="20"/>
                <w:u w:val="none"/>
              </w:rPr>
            </w:pPr>
            <w:r>
              <w:rPr>
                <w:rFonts w:hint="eastAsia" w:ascii="Times New Roman" w:hAnsi="Times New Roman" w:eastAsia="仿宋" w:cs="方正黑体_GBK"/>
                <w:i w:val="0"/>
                <w:color w:val="000000"/>
                <w:kern w:val="0"/>
                <w:sz w:val="20"/>
                <w:szCs w:val="20"/>
                <w:u w:val="none"/>
                <w:lang w:val="en-US" w:eastAsia="zh-CN" w:bidi="ar"/>
              </w:rPr>
              <w:t>20000.00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150.00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2016"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电动车及零配件产业基地项目</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计划用地面积130亩，建设周期36个月，分二期建设，其中第一期24个月，主要建设内容包括生产车间和办公楼、研发中心、检测中心、测试场、生活综合楼。</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2020-2023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20000.00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130.00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1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清爽节能材料生产线项目</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计划用地面积40亩，计划投资0.7亿元，建设内容包括生产车间和办公楼、生活综合楼</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2020-2022</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11000.00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40.00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1296"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9</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韶关新盟食品有限公司（二期）</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计划用地面积约52亩，容积率不低于1.2，包括生产销售果冻、榴莲饼等休闲食品为主的厂房及其他配套设施。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2020-2023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续建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15400.00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52.00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1760"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10</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新丰标准厂房建设（食品加工）项目</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规划面积约130亩，计划投资4亿元，其中首期建设约30亩。主要建设展销中心、研发检测中心和生产车间等产研一体化食品加工基地。</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2020-2022</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40000.00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130.00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245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11</w:t>
            </w:r>
          </w:p>
        </w:tc>
        <w:tc>
          <w:tcPr>
            <w:tcW w:w="2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粤港澳大湾区环保建材产业园项目</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规划面积2000亩，计划投资60亿元，主要建设年产量800万吨水泥厂、年产量100万吨碳酸钙厂、年产量1000万吨石灰石采石场、年产量900万立方花岗岩采石场、加气砖及新型建材厂等项目。</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2021-2026</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600000.00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2000.00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1077"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12</w:t>
            </w:r>
          </w:p>
        </w:tc>
        <w:tc>
          <w:tcPr>
            <w:tcW w:w="21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年产30万吨环保材料研究和生产项目</w:t>
            </w:r>
          </w:p>
        </w:tc>
        <w:tc>
          <w:tcPr>
            <w:tcW w:w="27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规划面积约60亩，主要建设自动专用墙饰建筑材料生产线四条</w:t>
            </w:r>
            <w:r>
              <w:rPr>
                <w:rStyle w:val="33"/>
                <w:rFonts w:ascii="Times New Roman" w:hAnsi="Times New Roman" w:eastAsia="仿宋"/>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2021-2023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11000.00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60.00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1506" w:hRule="atLeast"/>
          <w:jc w:val="center"/>
        </w:trPr>
        <w:tc>
          <w:tcPr>
            <w:tcW w:w="6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13</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强强兴乳制品生产项目</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规划面积约100亩，计划投资6亿元，容积率不低于2.0 ，拟建设内容包括生产车间和办公楼、研发中心、生活综合楼。</w:t>
            </w:r>
          </w:p>
        </w:tc>
        <w:tc>
          <w:tcPr>
            <w:tcW w:w="103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2020-2022</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60000.00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100.00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i w:val="0"/>
                <w:color w:val="000000"/>
                <w:sz w:val="22"/>
                <w:szCs w:val="22"/>
                <w:u w:val="none"/>
              </w:rPr>
            </w:pPr>
          </w:p>
        </w:tc>
      </w:tr>
      <w:tr>
        <w:tblPrEx>
          <w:tblCellMar>
            <w:top w:w="0" w:type="dxa"/>
            <w:left w:w="0" w:type="dxa"/>
            <w:bottom w:w="0" w:type="dxa"/>
            <w:right w:w="0" w:type="dxa"/>
          </w:tblCellMar>
        </w:tblPrEx>
        <w:trPr>
          <w:trHeight w:val="2171" w:hRule="atLeast"/>
          <w:jc w:val="center"/>
        </w:trPr>
        <w:tc>
          <w:tcPr>
            <w:tcW w:w="6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sz w:val="20"/>
                <w:szCs w:val="20"/>
                <w:u w:val="none"/>
              </w:rPr>
            </w:pPr>
            <w:r>
              <w:rPr>
                <w:rFonts w:hint="eastAsia" w:ascii="Times New Roman" w:hAnsi="Times New Roman" w:eastAsia="仿宋" w:cs="方正仿宋_GBK"/>
                <w:i w:val="0"/>
                <w:color w:val="000000"/>
                <w:kern w:val="0"/>
                <w:sz w:val="20"/>
                <w:szCs w:val="20"/>
                <w:u w:val="none"/>
                <w:lang w:val="en-US" w:eastAsia="zh-CN" w:bidi="ar"/>
              </w:rPr>
              <w:t>14</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广东雷诺贝尔新材料项目</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规划面积约100亩，其中一期建设占地60亩，二期占地面积40亩。一期办公楼，宿舍，厂房土建，设备投资。二期投资为研发楼、宿舍、扩建厂房；扩产、新产品研发及生产投入。</w:t>
            </w:r>
          </w:p>
        </w:tc>
        <w:tc>
          <w:tcPr>
            <w:tcW w:w="103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2021-2023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新建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20000.00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b/>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b/>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b/>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sz w:val="22"/>
                <w:szCs w:val="22"/>
                <w:u w:val="none"/>
              </w:rPr>
            </w:pPr>
            <w:r>
              <w:rPr>
                <w:rFonts w:hint="default" w:ascii="Times New Roman" w:hAnsi="Times New Roman" w:eastAsia="仿宋" w:cs="仿宋_GB2312"/>
                <w:i w:val="0"/>
                <w:color w:val="000000"/>
                <w:kern w:val="0"/>
                <w:sz w:val="22"/>
                <w:szCs w:val="22"/>
                <w:u w:val="none"/>
                <w:lang w:val="en-US" w:eastAsia="zh-CN" w:bidi="ar"/>
              </w:rPr>
              <w:t>100.00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default" w:ascii="Times New Roman" w:hAnsi="Times New Roman" w:eastAsia="仿宋" w:cs="仿宋_GB2312"/>
                <w:b/>
                <w:i w:val="0"/>
                <w:color w:val="000000"/>
                <w:sz w:val="22"/>
                <w:szCs w:val="22"/>
                <w:u w:val="none"/>
              </w:rPr>
            </w:pPr>
          </w:p>
        </w:tc>
      </w:tr>
      <w:tr>
        <w:tblPrEx>
          <w:tblCellMar>
            <w:top w:w="0" w:type="dxa"/>
            <w:left w:w="0" w:type="dxa"/>
            <w:bottom w:w="0" w:type="dxa"/>
            <w:right w:w="0" w:type="dxa"/>
          </w:tblCellMar>
        </w:tblPrEx>
        <w:trPr>
          <w:trHeight w:val="2171" w:hRule="atLeast"/>
          <w:jc w:val="center"/>
        </w:trPr>
        <w:tc>
          <w:tcPr>
            <w:tcW w:w="6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Times New Roman" w:hAnsi="Times New Roman" w:eastAsia="仿宋" w:cs="方正仿宋_GBK"/>
                <w:i w:val="0"/>
                <w:color w:val="000000"/>
                <w:kern w:val="0"/>
                <w:sz w:val="20"/>
                <w:szCs w:val="20"/>
                <w:u w:val="none"/>
                <w:lang w:val="en-US" w:eastAsia="zh-CN" w:bidi="ar"/>
              </w:rPr>
            </w:pPr>
            <w:r>
              <w:rPr>
                <w:rFonts w:hint="eastAsia" w:cs="方正仿宋_GBK"/>
                <w:i w:val="0"/>
                <w:color w:val="000000"/>
                <w:kern w:val="0"/>
                <w:sz w:val="20"/>
                <w:szCs w:val="20"/>
                <w:u w:val="none"/>
                <w:lang w:val="en-US" w:eastAsia="zh-CN" w:bidi="ar"/>
              </w:rPr>
              <w:t>15</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kern w:val="0"/>
                <w:sz w:val="22"/>
                <w:szCs w:val="22"/>
                <w:u w:val="none"/>
                <w:lang w:val="en-US" w:eastAsia="zh-CN" w:bidi="ar"/>
              </w:rPr>
            </w:pPr>
            <w:bookmarkStart w:id="127" w:name="_GoBack"/>
            <w:r>
              <w:rPr>
                <w:rFonts w:hint="default" w:ascii="Times New Roman" w:hAnsi="Times New Roman" w:eastAsia="仿宋" w:cs="仿宋_GB2312"/>
                <w:i w:val="0"/>
                <w:color w:val="000000"/>
                <w:kern w:val="0"/>
                <w:sz w:val="22"/>
                <w:szCs w:val="22"/>
                <w:u w:val="none"/>
                <w:lang w:val="en-US" w:eastAsia="zh-CN" w:bidi="ar"/>
              </w:rPr>
              <w:t>新丰万洋众创城投资项目</w:t>
            </w:r>
            <w:bookmarkEnd w:id="127"/>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default" w:ascii="Times New Roman" w:hAnsi="Times New Roman" w:eastAsia="仿宋" w:cs="仿宋_GB2312"/>
                <w:i w:val="0"/>
                <w:color w:val="000000"/>
                <w:kern w:val="0"/>
                <w:sz w:val="22"/>
                <w:szCs w:val="22"/>
                <w:u w:val="none"/>
                <w:lang w:val="en-US" w:eastAsia="zh-CN" w:bidi="ar"/>
              </w:rPr>
            </w:pPr>
            <w:r>
              <w:rPr>
                <w:rFonts w:hint="eastAsia" w:cs="仿宋_GB2312"/>
                <w:i w:val="0"/>
                <w:color w:val="000000"/>
                <w:kern w:val="0"/>
                <w:sz w:val="22"/>
                <w:szCs w:val="22"/>
                <w:u w:val="none"/>
                <w:lang w:val="en-US" w:eastAsia="zh-CN" w:bidi="ar"/>
              </w:rPr>
              <w:t>规划面积约</w:t>
            </w:r>
            <w:r>
              <w:rPr>
                <w:rFonts w:hint="default" w:ascii="Times New Roman" w:hAnsi="Times New Roman" w:eastAsia="仿宋" w:cs="仿宋_GB2312"/>
                <w:i w:val="0"/>
                <w:color w:val="000000"/>
                <w:kern w:val="0"/>
                <w:sz w:val="22"/>
                <w:szCs w:val="22"/>
                <w:u w:val="none"/>
                <w:lang w:val="en-US" w:eastAsia="zh-CN" w:bidi="ar"/>
              </w:rPr>
              <w:t>2000亩</w:t>
            </w:r>
            <w:r>
              <w:rPr>
                <w:rFonts w:hint="eastAsia" w:cs="仿宋_GB2312"/>
                <w:i w:val="0"/>
                <w:color w:val="000000"/>
                <w:kern w:val="0"/>
                <w:sz w:val="22"/>
                <w:szCs w:val="22"/>
                <w:u w:val="none"/>
                <w:lang w:val="en-US" w:eastAsia="zh-CN" w:bidi="ar"/>
              </w:rPr>
              <w:t>，</w:t>
            </w:r>
            <w:r>
              <w:rPr>
                <w:rFonts w:hint="default" w:ascii="Times New Roman" w:hAnsi="Times New Roman" w:eastAsia="仿宋" w:cs="仿宋_GB2312"/>
                <w:i w:val="0"/>
                <w:color w:val="000000"/>
                <w:kern w:val="0"/>
                <w:sz w:val="22"/>
                <w:szCs w:val="22"/>
                <w:u w:val="none"/>
                <w:lang w:val="en-US" w:eastAsia="zh-CN" w:bidi="ar"/>
              </w:rPr>
              <w:t>计划总投资约100亿元人民币</w:t>
            </w:r>
            <w:r>
              <w:rPr>
                <w:rFonts w:hint="eastAsia" w:cs="仿宋_GB2312"/>
                <w:i w:val="0"/>
                <w:color w:val="000000"/>
                <w:kern w:val="0"/>
                <w:sz w:val="22"/>
                <w:szCs w:val="22"/>
                <w:u w:val="none"/>
                <w:lang w:val="en-US" w:eastAsia="zh-CN" w:bidi="ar"/>
              </w:rPr>
              <w:t>。</w:t>
            </w:r>
            <w:r>
              <w:rPr>
                <w:rFonts w:hint="default" w:ascii="Times New Roman" w:hAnsi="Times New Roman" w:eastAsia="仿宋" w:cs="仿宋_GB2312"/>
                <w:i w:val="0"/>
                <w:color w:val="000000"/>
                <w:kern w:val="0"/>
                <w:sz w:val="22"/>
                <w:szCs w:val="22"/>
                <w:u w:val="none"/>
                <w:lang w:val="en-US" w:eastAsia="zh-CN" w:bidi="ar"/>
              </w:rPr>
              <w:t>其中首期500亩，投资25亿元。项目主要建设制造业集聚平台，将项目打造成为集制造研发、电子商务、仓储物流、生产生活配套、金融服务和智慧园区管理为一体的绿色智能产业园区。</w:t>
            </w:r>
          </w:p>
        </w:tc>
        <w:tc>
          <w:tcPr>
            <w:tcW w:w="103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kern w:val="0"/>
                <w:sz w:val="22"/>
                <w:szCs w:val="22"/>
                <w:u w:val="none"/>
                <w:lang w:val="en-US" w:eastAsia="zh-CN" w:bidi="ar"/>
              </w:rPr>
            </w:pPr>
            <w:r>
              <w:rPr>
                <w:rFonts w:hint="eastAsia" w:cs="仿宋_GB2312"/>
                <w:i w:val="0"/>
                <w:color w:val="000000"/>
                <w:kern w:val="0"/>
                <w:sz w:val="22"/>
                <w:szCs w:val="22"/>
                <w:u w:val="none"/>
                <w:lang w:val="en-US" w:eastAsia="zh-CN" w:bidi="ar"/>
              </w:rPr>
              <w:t>2021-2025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kern w:val="0"/>
                <w:sz w:val="22"/>
                <w:szCs w:val="22"/>
                <w:u w:val="none"/>
                <w:lang w:val="en-US" w:eastAsia="zh-CN" w:bidi="ar"/>
              </w:rPr>
            </w:pPr>
            <w:r>
              <w:rPr>
                <w:rFonts w:hint="default" w:ascii="Times New Roman" w:hAnsi="Times New Roman" w:eastAsia="仿宋" w:cs="仿宋_GB2312"/>
                <w:i w:val="0"/>
                <w:color w:val="000000"/>
                <w:kern w:val="0"/>
                <w:sz w:val="22"/>
                <w:szCs w:val="22"/>
                <w:u w:val="none"/>
                <w:lang w:val="en-US" w:eastAsia="zh-CN" w:bidi="ar"/>
              </w:rPr>
              <w:t>新建</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kern w:val="0"/>
                <w:sz w:val="22"/>
                <w:szCs w:val="22"/>
                <w:u w:val="none"/>
                <w:lang w:val="en-US" w:eastAsia="zh-CN" w:bidi="ar"/>
              </w:rPr>
            </w:pPr>
            <w:r>
              <w:rPr>
                <w:rFonts w:hint="eastAsia" w:cs="仿宋_GB2312"/>
                <w:i w:val="0"/>
                <w:color w:val="000000"/>
                <w:kern w:val="0"/>
                <w:sz w:val="22"/>
                <w:szCs w:val="22"/>
                <w:u w:val="none"/>
                <w:lang w:val="en-US" w:eastAsia="zh-CN" w:bidi="ar"/>
              </w:rPr>
              <w:t>1000000.00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442" w:firstLineChars="200"/>
              <w:jc w:val="center"/>
              <w:outlineLvl w:val="9"/>
              <w:rPr>
                <w:rFonts w:hint="default" w:ascii="Times New Roman" w:hAnsi="Times New Roman" w:eastAsia="仿宋" w:cs="仿宋_GB2312"/>
                <w:b/>
                <w:i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442" w:firstLineChars="200"/>
              <w:jc w:val="center"/>
              <w:outlineLvl w:val="9"/>
              <w:rPr>
                <w:rFonts w:hint="default" w:ascii="Times New Roman" w:hAnsi="Times New Roman" w:eastAsia="仿宋" w:cs="仿宋_GB2312"/>
                <w:b/>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442" w:firstLineChars="200"/>
              <w:jc w:val="center"/>
              <w:outlineLvl w:val="9"/>
              <w:rPr>
                <w:rFonts w:hint="default" w:ascii="Times New Roman" w:hAnsi="Times New Roman" w:eastAsia="仿宋" w:cs="仿宋_GB2312"/>
                <w:b/>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仿宋" w:cs="仿宋_GB2312"/>
                <w:i w:val="0"/>
                <w:color w:val="000000"/>
                <w:kern w:val="0"/>
                <w:sz w:val="22"/>
                <w:szCs w:val="22"/>
                <w:u w:val="none"/>
                <w:lang w:val="en-US" w:eastAsia="zh-CN" w:bidi="ar"/>
              </w:rPr>
            </w:pPr>
            <w:r>
              <w:rPr>
                <w:rFonts w:hint="eastAsia" w:cs="仿宋_GB2312"/>
                <w:i w:val="0"/>
                <w:color w:val="000000"/>
                <w:kern w:val="0"/>
                <w:sz w:val="22"/>
                <w:szCs w:val="22"/>
                <w:u w:val="none"/>
                <w:lang w:val="en-US" w:eastAsia="zh-CN" w:bidi="ar"/>
              </w:rPr>
              <w:t>2000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442" w:firstLineChars="200"/>
              <w:jc w:val="center"/>
              <w:outlineLvl w:val="9"/>
              <w:rPr>
                <w:rFonts w:hint="default" w:ascii="Times New Roman" w:hAnsi="Times New Roman" w:eastAsia="仿宋" w:cs="仿宋_GB2312"/>
                <w:b/>
                <w:i w:val="0"/>
                <w:color w:val="000000"/>
                <w:sz w:val="22"/>
                <w:szCs w:val="22"/>
                <w:u w:val="none"/>
              </w:rPr>
            </w:pPr>
          </w:p>
        </w:tc>
      </w:tr>
    </w:tbl>
    <w:p>
      <w:pPr>
        <w:pStyle w:val="14"/>
        <w:ind w:left="0" w:leftChars="0" w:firstLine="0" w:firstLineChars="0"/>
      </w:pPr>
    </w:p>
    <w:sectPr>
      <w:pgSz w:w="16838" w:h="11906" w:orient="landscape"/>
      <w:pgMar w:top="2041" w:right="1474" w:bottom="113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D9A"/>
    <w:multiLevelType w:val="multilevel"/>
    <w:tmpl w:val="00C40D9A"/>
    <w:lvl w:ilvl="0" w:tentative="0">
      <w:start w:val="1"/>
      <w:numFmt w:val="chineseCountingThousand"/>
      <w:suff w:val="nothing"/>
      <w:lvlText w:val="(%1)"/>
      <w:lvlJc w:val="left"/>
      <w:pPr>
        <w:ind w:left="1063" w:hanging="420"/>
      </w:pPr>
      <w:rPr>
        <w:rFonts w:hint="eastAsia" w:ascii="楷体" w:hAnsi="楷体" w:eastAsia="楷体" w:cs="Times New Roman"/>
        <w:b/>
        <w:bCs/>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abstractNum w:abstractNumId="1">
    <w:nsid w:val="061B6F06"/>
    <w:multiLevelType w:val="multilevel"/>
    <w:tmpl w:val="061B6F06"/>
    <w:lvl w:ilvl="0" w:tentative="0">
      <w:start w:val="1"/>
      <w:numFmt w:val="decimal"/>
      <w:suff w:val="space"/>
      <w:lvlText w:val="%1."/>
      <w:lvlJc w:val="left"/>
      <w:pPr>
        <w:ind w:left="1063" w:hanging="420"/>
      </w:pPr>
      <w:rPr>
        <w:rFonts w:hint="eastAsia" w:cs="Times New Roman"/>
      </w:rPr>
    </w:lvl>
    <w:lvl w:ilvl="1" w:tentative="0">
      <w:start w:val="1"/>
      <w:numFmt w:val="lowerLetter"/>
      <w:lvlText w:val="%2)"/>
      <w:lvlJc w:val="left"/>
      <w:pPr>
        <w:ind w:left="1479" w:hanging="420"/>
      </w:pPr>
      <w:rPr>
        <w:rFonts w:cs="Times New Roman"/>
      </w:rPr>
    </w:lvl>
    <w:lvl w:ilvl="2" w:tentative="0">
      <w:start w:val="1"/>
      <w:numFmt w:val="lowerRoman"/>
      <w:lvlText w:val="%3."/>
      <w:lvlJc w:val="right"/>
      <w:pPr>
        <w:ind w:left="1899" w:hanging="420"/>
      </w:pPr>
      <w:rPr>
        <w:rFonts w:cs="Times New Roman"/>
      </w:rPr>
    </w:lvl>
    <w:lvl w:ilvl="3" w:tentative="0">
      <w:start w:val="1"/>
      <w:numFmt w:val="decimal"/>
      <w:lvlText w:val="%4."/>
      <w:lvlJc w:val="left"/>
      <w:pPr>
        <w:ind w:left="2319" w:hanging="420"/>
      </w:pPr>
      <w:rPr>
        <w:rFonts w:cs="Times New Roman"/>
      </w:rPr>
    </w:lvl>
    <w:lvl w:ilvl="4" w:tentative="0">
      <w:start w:val="1"/>
      <w:numFmt w:val="lowerLetter"/>
      <w:lvlText w:val="%5)"/>
      <w:lvlJc w:val="left"/>
      <w:pPr>
        <w:ind w:left="2739" w:hanging="420"/>
      </w:pPr>
      <w:rPr>
        <w:rFonts w:cs="Times New Roman"/>
      </w:rPr>
    </w:lvl>
    <w:lvl w:ilvl="5" w:tentative="0">
      <w:start w:val="1"/>
      <w:numFmt w:val="lowerRoman"/>
      <w:lvlText w:val="%6."/>
      <w:lvlJc w:val="right"/>
      <w:pPr>
        <w:ind w:left="3159" w:hanging="420"/>
      </w:pPr>
      <w:rPr>
        <w:rFonts w:cs="Times New Roman"/>
      </w:rPr>
    </w:lvl>
    <w:lvl w:ilvl="6" w:tentative="0">
      <w:start w:val="1"/>
      <w:numFmt w:val="decimal"/>
      <w:lvlText w:val="%7."/>
      <w:lvlJc w:val="left"/>
      <w:pPr>
        <w:ind w:left="3579" w:hanging="420"/>
      </w:pPr>
      <w:rPr>
        <w:rFonts w:cs="Times New Roman"/>
      </w:rPr>
    </w:lvl>
    <w:lvl w:ilvl="7" w:tentative="0">
      <w:start w:val="1"/>
      <w:numFmt w:val="lowerLetter"/>
      <w:lvlText w:val="%8)"/>
      <w:lvlJc w:val="left"/>
      <w:pPr>
        <w:ind w:left="3999" w:hanging="420"/>
      </w:pPr>
      <w:rPr>
        <w:rFonts w:cs="Times New Roman"/>
      </w:rPr>
    </w:lvl>
    <w:lvl w:ilvl="8" w:tentative="0">
      <w:start w:val="1"/>
      <w:numFmt w:val="lowerRoman"/>
      <w:lvlText w:val="%9."/>
      <w:lvlJc w:val="right"/>
      <w:pPr>
        <w:ind w:left="4419" w:hanging="420"/>
      </w:pPr>
      <w:rPr>
        <w:rFonts w:cs="Times New Roman"/>
      </w:rPr>
    </w:lvl>
  </w:abstractNum>
  <w:abstractNum w:abstractNumId="2">
    <w:nsid w:val="080964FC"/>
    <w:multiLevelType w:val="multilevel"/>
    <w:tmpl w:val="080964FC"/>
    <w:lvl w:ilvl="0" w:tentative="0">
      <w:start w:val="1"/>
      <w:numFmt w:val="decimal"/>
      <w:suff w:val="space"/>
      <w:lvlText w:val="%1."/>
      <w:lvlJc w:val="left"/>
      <w:pPr>
        <w:ind w:left="1063" w:hanging="420"/>
      </w:pPr>
      <w:rPr>
        <w:rFonts w:hint="eastAsia" w:cs="Times New Roman"/>
      </w:rPr>
    </w:lvl>
    <w:lvl w:ilvl="1" w:tentative="0">
      <w:start w:val="1"/>
      <w:numFmt w:val="lowerLetter"/>
      <w:lvlText w:val="%2)"/>
      <w:lvlJc w:val="left"/>
      <w:pPr>
        <w:ind w:left="1479" w:hanging="420"/>
      </w:pPr>
      <w:rPr>
        <w:rFonts w:cs="Times New Roman"/>
      </w:rPr>
    </w:lvl>
    <w:lvl w:ilvl="2" w:tentative="0">
      <w:start w:val="1"/>
      <w:numFmt w:val="lowerRoman"/>
      <w:lvlText w:val="%3."/>
      <w:lvlJc w:val="right"/>
      <w:pPr>
        <w:ind w:left="1899" w:hanging="420"/>
      </w:pPr>
      <w:rPr>
        <w:rFonts w:cs="Times New Roman"/>
      </w:rPr>
    </w:lvl>
    <w:lvl w:ilvl="3" w:tentative="0">
      <w:start w:val="1"/>
      <w:numFmt w:val="decimal"/>
      <w:lvlText w:val="%4."/>
      <w:lvlJc w:val="left"/>
      <w:pPr>
        <w:ind w:left="2319" w:hanging="420"/>
      </w:pPr>
      <w:rPr>
        <w:rFonts w:cs="Times New Roman"/>
      </w:rPr>
    </w:lvl>
    <w:lvl w:ilvl="4" w:tentative="0">
      <w:start w:val="1"/>
      <w:numFmt w:val="lowerLetter"/>
      <w:lvlText w:val="%5)"/>
      <w:lvlJc w:val="left"/>
      <w:pPr>
        <w:ind w:left="2739" w:hanging="420"/>
      </w:pPr>
      <w:rPr>
        <w:rFonts w:cs="Times New Roman"/>
      </w:rPr>
    </w:lvl>
    <w:lvl w:ilvl="5" w:tentative="0">
      <w:start w:val="1"/>
      <w:numFmt w:val="lowerRoman"/>
      <w:lvlText w:val="%6."/>
      <w:lvlJc w:val="right"/>
      <w:pPr>
        <w:ind w:left="3159" w:hanging="420"/>
      </w:pPr>
      <w:rPr>
        <w:rFonts w:cs="Times New Roman"/>
      </w:rPr>
    </w:lvl>
    <w:lvl w:ilvl="6" w:tentative="0">
      <w:start w:val="1"/>
      <w:numFmt w:val="decimal"/>
      <w:lvlText w:val="%7."/>
      <w:lvlJc w:val="left"/>
      <w:pPr>
        <w:ind w:left="3579" w:hanging="420"/>
      </w:pPr>
      <w:rPr>
        <w:rFonts w:cs="Times New Roman"/>
      </w:rPr>
    </w:lvl>
    <w:lvl w:ilvl="7" w:tentative="0">
      <w:start w:val="1"/>
      <w:numFmt w:val="lowerLetter"/>
      <w:lvlText w:val="%8)"/>
      <w:lvlJc w:val="left"/>
      <w:pPr>
        <w:ind w:left="3999" w:hanging="420"/>
      </w:pPr>
      <w:rPr>
        <w:rFonts w:cs="Times New Roman"/>
      </w:rPr>
    </w:lvl>
    <w:lvl w:ilvl="8" w:tentative="0">
      <w:start w:val="1"/>
      <w:numFmt w:val="lowerRoman"/>
      <w:lvlText w:val="%9."/>
      <w:lvlJc w:val="right"/>
      <w:pPr>
        <w:ind w:left="4419" w:hanging="420"/>
      </w:pPr>
      <w:rPr>
        <w:rFonts w:cs="Times New Roman"/>
      </w:rPr>
    </w:lvl>
  </w:abstractNum>
  <w:abstractNum w:abstractNumId="3">
    <w:nsid w:val="0E6A231A"/>
    <w:multiLevelType w:val="multilevel"/>
    <w:tmpl w:val="0E6A231A"/>
    <w:lvl w:ilvl="0" w:tentative="0">
      <w:start w:val="1"/>
      <w:numFmt w:val="chineseCountingThousand"/>
      <w:suff w:val="nothing"/>
      <w:lvlText w:val="(%1)"/>
      <w:lvlJc w:val="left"/>
      <w:pPr>
        <w:ind w:left="1063" w:hanging="420"/>
      </w:pPr>
      <w:rPr>
        <w:rFonts w:hint="eastAsia" w:ascii="楷体" w:hAnsi="楷体" w:eastAsia="楷体" w:cs="Times New Roman"/>
        <w:b/>
        <w:bCs/>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abstractNum w:abstractNumId="4">
    <w:nsid w:val="21A03A2D"/>
    <w:multiLevelType w:val="multilevel"/>
    <w:tmpl w:val="21A03A2D"/>
    <w:lvl w:ilvl="0" w:tentative="0">
      <w:start w:val="1"/>
      <w:numFmt w:val="chineseCountingThousand"/>
      <w:suff w:val="nothing"/>
      <w:lvlText w:val="(%1)"/>
      <w:lvlJc w:val="left"/>
      <w:pPr>
        <w:ind w:left="1063" w:hanging="420"/>
      </w:pPr>
      <w:rPr>
        <w:rFonts w:hint="eastAsia" w:ascii="楷体" w:hAnsi="楷体" w:eastAsia="楷体" w:cs="Times New Roman"/>
        <w:b/>
        <w:bCs/>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abstractNum w:abstractNumId="5">
    <w:nsid w:val="3D36783A"/>
    <w:multiLevelType w:val="multilevel"/>
    <w:tmpl w:val="3D36783A"/>
    <w:lvl w:ilvl="0" w:tentative="0">
      <w:start w:val="1"/>
      <w:numFmt w:val="chineseCountingThousand"/>
      <w:suff w:val="nothing"/>
      <w:lvlText w:val="(%1)"/>
      <w:lvlJc w:val="left"/>
      <w:pPr>
        <w:ind w:left="1063" w:hanging="420"/>
      </w:pPr>
      <w:rPr>
        <w:rFonts w:hint="eastAsia" w:ascii="楷体" w:hAnsi="楷体" w:eastAsia="楷体" w:cs="Times New Roman"/>
        <w:b/>
        <w:bCs/>
        <w:strike w:val="0"/>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abstractNum w:abstractNumId="6">
    <w:nsid w:val="491737BF"/>
    <w:multiLevelType w:val="multilevel"/>
    <w:tmpl w:val="491737BF"/>
    <w:lvl w:ilvl="0" w:tentative="0">
      <w:start w:val="1"/>
      <w:numFmt w:val="chineseCountingThousand"/>
      <w:suff w:val="nothing"/>
      <w:lvlText w:val="(%1)"/>
      <w:lvlJc w:val="left"/>
      <w:pPr>
        <w:ind w:left="1063" w:hanging="420"/>
      </w:pPr>
      <w:rPr>
        <w:rFonts w:hint="eastAsia" w:ascii="楷体" w:hAnsi="楷体" w:eastAsia="楷体" w:cs="Times New Roman"/>
        <w:b/>
        <w:bCs/>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abstractNum w:abstractNumId="7">
    <w:nsid w:val="4A085A8D"/>
    <w:multiLevelType w:val="multilevel"/>
    <w:tmpl w:val="4A085A8D"/>
    <w:lvl w:ilvl="0" w:tentative="0">
      <w:start w:val="1"/>
      <w:numFmt w:val="chineseCountingThousand"/>
      <w:suff w:val="nothing"/>
      <w:lvlText w:val="(%1)"/>
      <w:lvlJc w:val="left"/>
      <w:pPr>
        <w:ind w:left="1063" w:hanging="420"/>
      </w:pPr>
      <w:rPr>
        <w:rFonts w:hint="eastAsia" w:ascii="楷体" w:hAnsi="楷体" w:eastAsia="楷体" w:cs="Times New Roman"/>
        <w:b/>
        <w:bCs/>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abstractNum w:abstractNumId="8">
    <w:nsid w:val="59EB66A4"/>
    <w:multiLevelType w:val="multilevel"/>
    <w:tmpl w:val="59EB66A4"/>
    <w:lvl w:ilvl="0" w:tentative="0">
      <w:start w:val="1"/>
      <w:numFmt w:val="decimal"/>
      <w:suff w:val="space"/>
      <w:lvlText w:val="%1."/>
      <w:lvlJc w:val="left"/>
      <w:pPr>
        <w:ind w:left="1059" w:hanging="420"/>
      </w:pPr>
      <w:rPr>
        <w:rFonts w:hint="eastAsia" w:cs="Times New Roman"/>
      </w:rPr>
    </w:lvl>
    <w:lvl w:ilvl="1" w:tentative="0">
      <w:start w:val="1"/>
      <w:numFmt w:val="lowerLetter"/>
      <w:lvlText w:val="%2)"/>
      <w:lvlJc w:val="left"/>
      <w:pPr>
        <w:ind w:left="1479" w:hanging="420"/>
      </w:pPr>
      <w:rPr>
        <w:rFonts w:cs="Times New Roman"/>
      </w:rPr>
    </w:lvl>
    <w:lvl w:ilvl="2" w:tentative="0">
      <w:start w:val="1"/>
      <w:numFmt w:val="lowerRoman"/>
      <w:lvlText w:val="%3."/>
      <w:lvlJc w:val="right"/>
      <w:pPr>
        <w:ind w:left="1899" w:hanging="420"/>
      </w:pPr>
      <w:rPr>
        <w:rFonts w:cs="Times New Roman"/>
      </w:rPr>
    </w:lvl>
    <w:lvl w:ilvl="3" w:tentative="0">
      <w:start w:val="1"/>
      <w:numFmt w:val="decimal"/>
      <w:lvlText w:val="%4."/>
      <w:lvlJc w:val="left"/>
      <w:pPr>
        <w:ind w:left="2319" w:hanging="420"/>
      </w:pPr>
      <w:rPr>
        <w:rFonts w:cs="Times New Roman"/>
      </w:rPr>
    </w:lvl>
    <w:lvl w:ilvl="4" w:tentative="0">
      <w:start w:val="1"/>
      <w:numFmt w:val="lowerLetter"/>
      <w:lvlText w:val="%5)"/>
      <w:lvlJc w:val="left"/>
      <w:pPr>
        <w:ind w:left="2739" w:hanging="420"/>
      </w:pPr>
      <w:rPr>
        <w:rFonts w:cs="Times New Roman"/>
      </w:rPr>
    </w:lvl>
    <w:lvl w:ilvl="5" w:tentative="0">
      <w:start w:val="1"/>
      <w:numFmt w:val="lowerRoman"/>
      <w:lvlText w:val="%6."/>
      <w:lvlJc w:val="right"/>
      <w:pPr>
        <w:ind w:left="3159" w:hanging="420"/>
      </w:pPr>
      <w:rPr>
        <w:rFonts w:cs="Times New Roman"/>
      </w:rPr>
    </w:lvl>
    <w:lvl w:ilvl="6" w:tentative="0">
      <w:start w:val="1"/>
      <w:numFmt w:val="decimal"/>
      <w:lvlText w:val="%7."/>
      <w:lvlJc w:val="left"/>
      <w:pPr>
        <w:ind w:left="3579" w:hanging="420"/>
      </w:pPr>
      <w:rPr>
        <w:rFonts w:cs="Times New Roman"/>
      </w:rPr>
    </w:lvl>
    <w:lvl w:ilvl="7" w:tentative="0">
      <w:start w:val="1"/>
      <w:numFmt w:val="lowerLetter"/>
      <w:lvlText w:val="%8)"/>
      <w:lvlJc w:val="left"/>
      <w:pPr>
        <w:ind w:left="3999" w:hanging="420"/>
      </w:pPr>
      <w:rPr>
        <w:rFonts w:cs="Times New Roman"/>
      </w:rPr>
    </w:lvl>
    <w:lvl w:ilvl="8" w:tentative="0">
      <w:start w:val="1"/>
      <w:numFmt w:val="lowerRoman"/>
      <w:lvlText w:val="%9."/>
      <w:lvlJc w:val="right"/>
      <w:pPr>
        <w:ind w:left="4419" w:hanging="420"/>
      </w:pPr>
      <w:rPr>
        <w:rFonts w:cs="Times New Roman"/>
      </w:rPr>
    </w:lvl>
  </w:abstractNum>
  <w:abstractNum w:abstractNumId="9">
    <w:nsid w:val="63F3222D"/>
    <w:multiLevelType w:val="multilevel"/>
    <w:tmpl w:val="63F3222D"/>
    <w:lvl w:ilvl="0" w:tentative="0">
      <w:start w:val="1"/>
      <w:numFmt w:val="chineseCountingThousand"/>
      <w:suff w:val="nothing"/>
      <w:lvlText w:val="%1、"/>
      <w:lvlJc w:val="left"/>
      <w:pPr>
        <w:ind w:left="1060" w:hanging="420"/>
      </w:pPr>
      <w:rPr>
        <w:rFonts w:hint="eastAsia" w:cs="Times New Roman"/>
      </w:rPr>
    </w:lvl>
    <w:lvl w:ilvl="1" w:tentative="0">
      <w:start w:val="1"/>
      <w:numFmt w:val="japaneseCounting"/>
      <w:lvlText w:val="（%2）"/>
      <w:lvlJc w:val="left"/>
      <w:pPr>
        <w:ind w:left="2140" w:hanging="1080"/>
      </w:pPr>
      <w:rPr>
        <w:rFonts w:hint="default"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0">
    <w:nsid w:val="6881672B"/>
    <w:multiLevelType w:val="multilevel"/>
    <w:tmpl w:val="6881672B"/>
    <w:lvl w:ilvl="0" w:tentative="0">
      <w:start w:val="1"/>
      <w:numFmt w:val="chineseCountingThousand"/>
      <w:suff w:val="nothing"/>
      <w:lvlText w:val="(%1)"/>
      <w:lvlJc w:val="left"/>
      <w:pPr>
        <w:ind w:left="1063" w:hanging="420"/>
      </w:pPr>
      <w:rPr>
        <w:rFonts w:hint="eastAsia" w:ascii="楷体" w:hAnsi="楷体" w:eastAsia="楷体" w:cs="Times New Roman"/>
        <w:b/>
        <w:bCs/>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9"/>
  </w:num>
  <w:num w:numId="2">
    <w:abstractNumId w:val="6"/>
  </w:num>
  <w:num w:numId="3">
    <w:abstractNumId w:val="0"/>
  </w:num>
  <w:num w:numId="4">
    <w:abstractNumId w:val="4"/>
  </w:num>
  <w:num w:numId="5">
    <w:abstractNumId w:val="7"/>
  </w:num>
  <w:num w:numId="6">
    <w:abstractNumId w:val="8"/>
  </w:num>
  <w:num w:numId="7">
    <w:abstractNumId w:val="1"/>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95"/>
    <w:rsid w:val="00003110"/>
    <w:rsid w:val="00006135"/>
    <w:rsid w:val="0000634E"/>
    <w:rsid w:val="00007A3E"/>
    <w:rsid w:val="00010A3A"/>
    <w:rsid w:val="00015254"/>
    <w:rsid w:val="00020C31"/>
    <w:rsid w:val="00026760"/>
    <w:rsid w:val="00026D52"/>
    <w:rsid w:val="00036149"/>
    <w:rsid w:val="000512CB"/>
    <w:rsid w:val="00064C4D"/>
    <w:rsid w:val="00080471"/>
    <w:rsid w:val="00083DE8"/>
    <w:rsid w:val="00090A0E"/>
    <w:rsid w:val="00093D47"/>
    <w:rsid w:val="000B292B"/>
    <w:rsid w:val="000C3246"/>
    <w:rsid w:val="000D1D06"/>
    <w:rsid w:val="000D4C6B"/>
    <w:rsid w:val="000D5AA9"/>
    <w:rsid w:val="000E16AC"/>
    <w:rsid w:val="000F29E3"/>
    <w:rsid w:val="000F3AB0"/>
    <w:rsid w:val="0011288B"/>
    <w:rsid w:val="00121418"/>
    <w:rsid w:val="0012167B"/>
    <w:rsid w:val="001263F9"/>
    <w:rsid w:val="00127069"/>
    <w:rsid w:val="0013269F"/>
    <w:rsid w:val="0013682D"/>
    <w:rsid w:val="001422A7"/>
    <w:rsid w:val="001467B4"/>
    <w:rsid w:val="00146DD6"/>
    <w:rsid w:val="001625AA"/>
    <w:rsid w:val="0016664E"/>
    <w:rsid w:val="00172BF3"/>
    <w:rsid w:val="0017690E"/>
    <w:rsid w:val="0017724E"/>
    <w:rsid w:val="00186ADF"/>
    <w:rsid w:val="001A0D35"/>
    <w:rsid w:val="001A364A"/>
    <w:rsid w:val="001A4BB9"/>
    <w:rsid w:val="001A60D2"/>
    <w:rsid w:val="001C0100"/>
    <w:rsid w:val="001C1B08"/>
    <w:rsid w:val="001D1EAC"/>
    <w:rsid w:val="001D4D29"/>
    <w:rsid w:val="001D7121"/>
    <w:rsid w:val="001E786F"/>
    <w:rsid w:val="001F238C"/>
    <w:rsid w:val="00201FF0"/>
    <w:rsid w:val="00203AE8"/>
    <w:rsid w:val="00211ABB"/>
    <w:rsid w:val="00212279"/>
    <w:rsid w:val="00213187"/>
    <w:rsid w:val="002277E3"/>
    <w:rsid w:val="002315E3"/>
    <w:rsid w:val="002410AD"/>
    <w:rsid w:val="00251C66"/>
    <w:rsid w:val="00251FEF"/>
    <w:rsid w:val="0026416A"/>
    <w:rsid w:val="00280036"/>
    <w:rsid w:val="002824FB"/>
    <w:rsid w:val="00286727"/>
    <w:rsid w:val="0029024F"/>
    <w:rsid w:val="00294003"/>
    <w:rsid w:val="00295DD6"/>
    <w:rsid w:val="002A04C6"/>
    <w:rsid w:val="002A1747"/>
    <w:rsid w:val="002A561F"/>
    <w:rsid w:val="002A5B50"/>
    <w:rsid w:val="002C3395"/>
    <w:rsid w:val="002C36FC"/>
    <w:rsid w:val="002D18A8"/>
    <w:rsid w:val="002D752F"/>
    <w:rsid w:val="002E738C"/>
    <w:rsid w:val="002F142D"/>
    <w:rsid w:val="002F528C"/>
    <w:rsid w:val="00302780"/>
    <w:rsid w:val="00317D10"/>
    <w:rsid w:val="00325AE7"/>
    <w:rsid w:val="00331FCE"/>
    <w:rsid w:val="003402E5"/>
    <w:rsid w:val="00346F34"/>
    <w:rsid w:val="00350D64"/>
    <w:rsid w:val="003517A6"/>
    <w:rsid w:val="00363208"/>
    <w:rsid w:val="00370EE9"/>
    <w:rsid w:val="00384C7A"/>
    <w:rsid w:val="003932FD"/>
    <w:rsid w:val="00393B9D"/>
    <w:rsid w:val="003A14BF"/>
    <w:rsid w:val="003A1FB4"/>
    <w:rsid w:val="003A6021"/>
    <w:rsid w:val="003B64AA"/>
    <w:rsid w:val="003C0679"/>
    <w:rsid w:val="003C1E18"/>
    <w:rsid w:val="003C64D7"/>
    <w:rsid w:val="003D0BAF"/>
    <w:rsid w:val="003D0E2D"/>
    <w:rsid w:val="003D4100"/>
    <w:rsid w:val="003E0856"/>
    <w:rsid w:val="003E6953"/>
    <w:rsid w:val="003F5C38"/>
    <w:rsid w:val="00402B33"/>
    <w:rsid w:val="004061B9"/>
    <w:rsid w:val="00407CC2"/>
    <w:rsid w:val="00413717"/>
    <w:rsid w:val="004146F6"/>
    <w:rsid w:val="00417966"/>
    <w:rsid w:val="00417DF4"/>
    <w:rsid w:val="004226A7"/>
    <w:rsid w:val="00430314"/>
    <w:rsid w:val="004315FC"/>
    <w:rsid w:val="00432D35"/>
    <w:rsid w:val="00434269"/>
    <w:rsid w:val="004522A7"/>
    <w:rsid w:val="00463446"/>
    <w:rsid w:val="0046677E"/>
    <w:rsid w:val="004670A0"/>
    <w:rsid w:val="00470C94"/>
    <w:rsid w:val="00476EC4"/>
    <w:rsid w:val="00477C84"/>
    <w:rsid w:val="00482D0B"/>
    <w:rsid w:val="00483782"/>
    <w:rsid w:val="004A0F68"/>
    <w:rsid w:val="004A3E33"/>
    <w:rsid w:val="004A5D65"/>
    <w:rsid w:val="004A6DBD"/>
    <w:rsid w:val="004C32DC"/>
    <w:rsid w:val="004C5E26"/>
    <w:rsid w:val="004C7C00"/>
    <w:rsid w:val="004D1DB0"/>
    <w:rsid w:val="004D6573"/>
    <w:rsid w:val="004E396C"/>
    <w:rsid w:val="004E5B3C"/>
    <w:rsid w:val="005016D8"/>
    <w:rsid w:val="00504D22"/>
    <w:rsid w:val="00506246"/>
    <w:rsid w:val="00511856"/>
    <w:rsid w:val="005143CF"/>
    <w:rsid w:val="005163D0"/>
    <w:rsid w:val="0053280B"/>
    <w:rsid w:val="00543423"/>
    <w:rsid w:val="00545159"/>
    <w:rsid w:val="005457A4"/>
    <w:rsid w:val="00553ED4"/>
    <w:rsid w:val="00564A74"/>
    <w:rsid w:val="0056598E"/>
    <w:rsid w:val="00575154"/>
    <w:rsid w:val="0058044D"/>
    <w:rsid w:val="0058460B"/>
    <w:rsid w:val="005956F8"/>
    <w:rsid w:val="005A0D5A"/>
    <w:rsid w:val="005A472E"/>
    <w:rsid w:val="005A6F22"/>
    <w:rsid w:val="005B1520"/>
    <w:rsid w:val="005B5133"/>
    <w:rsid w:val="005C5173"/>
    <w:rsid w:val="005D1DB4"/>
    <w:rsid w:val="005D300B"/>
    <w:rsid w:val="005D4B20"/>
    <w:rsid w:val="005E1E01"/>
    <w:rsid w:val="005E3071"/>
    <w:rsid w:val="005E3668"/>
    <w:rsid w:val="005E3B44"/>
    <w:rsid w:val="005E6ED3"/>
    <w:rsid w:val="005F504D"/>
    <w:rsid w:val="005F6486"/>
    <w:rsid w:val="006013E3"/>
    <w:rsid w:val="00603AD8"/>
    <w:rsid w:val="0061112C"/>
    <w:rsid w:val="00617A1F"/>
    <w:rsid w:val="00620783"/>
    <w:rsid w:val="00621E48"/>
    <w:rsid w:val="00623285"/>
    <w:rsid w:val="00623DE5"/>
    <w:rsid w:val="00625D25"/>
    <w:rsid w:val="006309C6"/>
    <w:rsid w:val="00633EB0"/>
    <w:rsid w:val="006400C5"/>
    <w:rsid w:val="0064252A"/>
    <w:rsid w:val="00660771"/>
    <w:rsid w:val="00662571"/>
    <w:rsid w:val="0067248D"/>
    <w:rsid w:val="0067288C"/>
    <w:rsid w:val="00686697"/>
    <w:rsid w:val="006A7BD6"/>
    <w:rsid w:val="006B3CF0"/>
    <w:rsid w:val="006C57F4"/>
    <w:rsid w:val="006C7DE2"/>
    <w:rsid w:val="006D532A"/>
    <w:rsid w:val="006E4A18"/>
    <w:rsid w:val="006E4B2F"/>
    <w:rsid w:val="006F4926"/>
    <w:rsid w:val="00702F60"/>
    <w:rsid w:val="007063A2"/>
    <w:rsid w:val="007218FD"/>
    <w:rsid w:val="00723EAB"/>
    <w:rsid w:val="0072662C"/>
    <w:rsid w:val="0073011C"/>
    <w:rsid w:val="00732130"/>
    <w:rsid w:val="007329DB"/>
    <w:rsid w:val="007418D0"/>
    <w:rsid w:val="00741B7B"/>
    <w:rsid w:val="0074249B"/>
    <w:rsid w:val="007453D1"/>
    <w:rsid w:val="00753C30"/>
    <w:rsid w:val="00757754"/>
    <w:rsid w:val="00761D0F"/>
    <w:rsid w:val="0076212B"/>
    <w:rsid w:val="007629E9"/>
    <w:rsid w:val="0077399C"/>
    <w:rsid w:val="00777B6D"/>
    <w:rsid w:val="007862A3"/>
    <w:rsid w:val="00796DDC"/>
    <w:rsid w:val="0079771E"/>
    <w:rsid w:val="007A5BA8"/>
    <w:rsid w:val="007B30BC"/>
    <w:rsid w:val="007C47C4"/>
    <w:rsid w:val="007C6D32"/>
    <w:rsid w:val="007D2117"/>
    <w:rsid w:val="007F2135"/>
    <w:rsid w:val="00805531"/>
    <w:rsid w:val="008065D3"/>
    <w:rsid w:val="0080773A"/>
    <w:rsid w:val="008171FE"/>
    <w:rsid w:val="008172C6"/>
    <w:rsid w:val="00820137"/>
    <w:rsid w:val="00821E2A"/>
    <w:rsid w:val="00831B90"/>
    <w:rsid w:val="008458D1"/>
    <w:rsid w:val="00850BD7"/>
    <w:rsid w:val="008568F8"/>
    <w:rsid w:val="008665FF"/>
    <w:rsid w:val="00870114"/>
    <w:rsid w:val="00870D85"/>
    <w:rsid w:val="00871029"/>
    <w:rsid w:val="00873D9A"/>
    <w:rsid w:val="00874C48"/>
    <w:rsid w:val="0087646A"/>
    <w:rsid w:val="00876A25"/>
    <w:rsid w:val="00882712"/>
    <w:rsid w:val="00893C53"/>
    <w:rsid w:val="008A7323"/>
    <w:rsid w:val="008B26B6"/>
    <w:rsid w:val="008B3C12"/>
    <w:rsid w:val="008B7623"/>
    <w:rsid w:val="008C3DE9"/>
    <w:rsid w:val="008C7E85"/>
    <w:rsid w:val="008E071F"/>
    <w:rsid w:val="008E5DA2"/>
    <w:rsid w:val="008E7EEA"/>
    <w:rsid w:val="008F31A9"/>
    <w:rsid w:val="00901A82"/>
    <w:rsid w:val="009036A4"/>
    <w:rsid w:val="00907500"/>
    <w:rsid w:val="009101F7"/>
    <w:rsid w:val="00917767"/>
    <w:rsid w:val="0092342E"/>
    <w:rsid w:val="0093061C"/>
    <w:rsid w:val="00933AA4"/>
    <w:rsid w:val="009341C4"/>
    <w:rsid w:val="00935550"/>
    <w:rsid w:val="0093798F"/>
    <w:rsid w:val="00937B7D"/>
    <w:rsid w:val="00941926"/>
    <w:rsid w:val="00943DA4"/>
    <w:rsid w:val="009478FE"/>
    <w:rsid w:val="009551AD"/>
    <w:rsid w:val="009611BD"/>
    <w:rsid w:val="00961839"/>
    <w:rsid w:val="00966C54"/>
    <w:rsid w:val="00972545"/>
    <w:rsid w:val="0097466A"/>
    <w:rsid w:val="0097581E"/>
    <w:rsid w:val="009763DD"/>
    <w:rsid w:val="009776D7"/>
    <w:rsid w:val="009877F6"/>
    <w:rsid w:val="00992371"/>
    <w:rsid w:val="009967A0"/>
    <w:rsid w:val="0099680E"/>
    <w:rsid w:val="009A2976"/>
    <w:rsid w:val="009A5BFF"/>
    <w:rsid w:val="009B3D4B"/>
    <w:rsid w:val="009B55CE"/>
    <w:rsid w:val="009B6196"/>
    <w:rsid w:val="009C2724"/>
    <w:rsid w:val="009D4AFA"/>
    <w:rsid w:val="009D5332"/>
    <w:rsid w:val="009E2A3D"/>
    <w:rsid w:val="009E73CB"/>
    <w:rsid w:val="009F790F"/>
    <w:rsid w:val="00A07580"/>
    <w:rsid w:val="00A15D91"/>
    <w:rsid w:val="00A20376"/>
    <w:rsid w:val="00A21BDB"/>
    <w:rsid w:val="00A25066"/>
    <w:rsid w:val="00A25C67"/>
    <w:rsid w:val="00A33CDD"/>
    <w:rsid w:val="00A33EC4"/>
    <w:rsid w:val="00A34BE5"/>
    <w:rsid w:val="00A43F50"/>
    <w:rsid w:val="00A46499"/>
    <w:rsid w:val="00A47414"/>
    <w:rsid w:val="00A51EDD"/>
    <w:rsid w:val="00A540B3"/>
    <w:rsid w:val="00A6385D"/>
    <w:rsid w:val="00A72A2A"/>
    <w:rsid w:val="00A7718B"/>
    <w:rsid w:val="00A84BA8"/>
    <w:rsid w:val="00A90447"/>
    <w:rsid w:val="00A92B2C"/>
    <w:rsid w:val="00AA5B10"/>
    <w:rsid w:val="00AA793F"/>
    <w:rsid w:val="00AB6C61"/>
    <w:rsid w:val="00AC31AF"/>
    <w:rsid w:val="00AC5438"/>
    <w:rsid w:val="00AC61ED"/>
    <w:rsid w:val="00AD4324"/>
    <w:rsid w:val="00AD4499"/>
    <w:rsid w:val="00AD4F1B"/>
    <w:rsid w:val="00AE1666"/>
    <w:rsid w:val="00AE5387"/>
    <w:rsid w:val="00AF588C"/>
    <w:rsid w:val="00AF64B0"/>
    <w:rsid w:val="00AF66FE"/>
    <w:rsid w:val="00B02361"/>
    <w:rsid w:val="00B108D8"/>
    <w:rsid w:val="00B11AFE"/>
    <w:rsid w:val="00B146FB"/>
    <w:rsid w:val="00B15DC7"/>
    <w:rsid w:val="00B1722E"/>
    <w:rsid w:val="00B21F89"/>
    <w:rsid w:val="00B35EFE"/>
    <w:rsid w:val="00B544B5"/>
    <w:rsid w:val="00B6350D"/>
    <w:rsid w:val="00B817F9"/>
    <w:rsid w:val="00B947B1"/>
    <w:rsid w:val="00B97A47"/>
    <w:rsid w:val="00BA54E2"/>
    <w:rsid w:val="00BB5D16"/>
    <w:rsid w:val="00BC2091"/>
    <w:rsid w:val="00BC2FBD"/>
    <w:rsid w:val="00BD273B"/>
    <w:rsid w:val="00BD73A1"/>
    <w:rsid w:val="00BD764C"/>
    <w:rsid w:val="00BE24BA"/>
    <w:rsid w:val="00BE3D83"/>
    <w:rsid w:val="00BF5233"/>
    <w:rsid w:val="00BF5997"/>
    <w:rsid w:val="00C03231"/>
    <w:rsid w:val="00C052F5"/>
    <w:rsid w:val="00C11C1C"/>
    <w:rsid w:val="00C1466A"/>
    <w:rsid w:val="00C36E51"/>
    <w:rsid w:val="00C419E1"/>
    <w:rsid w:val="00C44027"/>
    <w:rsid w:val="00C61C2D"/>
    <w:rsid w:val="00C73CCE"/>
    <w:rsid w:val="00C750BF"/>
    <w:rsid w:val="00C81738"/>
    <w:rsid w:val="00C82389"/>
    <w:rsid w:val="00C87A79"/>
    <w:rsid w:val="00C906CA"/>
    <w:rsid w:val="00CC32AD"/>
    <w:rsid w:val="00CC4418"/>
    <w:rsid w:val="00CC47BE"/>
    <w:rsid w:val="00CC4B7A"/>
    <w:rsid w:val="00CD4875"/>
    <w:rsid w:val="00CD5688"/>
    <w:rsid w:val="00CD5D67"/>
    <w:rsid w:val="00CD619E"/>
    <w:rsid w:val="00CD79D5"/>
    <w:rsid w:val="00CE6BB6"/>
    <w:rsid w:val="00CF10DB"/>
    <w:rsid w:val="00CF2376"/>
    <w:rsid w:val="00CF469F"/>
    <w:rsid w:val="00D155AE"/>
    <w:rsid w:val="00D265E4"/>
    <w:rsid w:val="00D32772"/>
    <w:rsid w:val="00D351EE"/>
    <w:rsid w:val="00D522FD"/>
    <w:rsid w:val="00D526E4"/>
    <w:rsid w:val="00D55281"/>
    <w:rsid w:val="00D55516"/>
    <w:rsid w:val="00D567CC"/>
    <w:rsid w:val="00D6483B"/>
    <w:rsid w:val="00D64D0B"/>
    <w:rsid w:val="00D67A03"/>
    <w:rsid w:val="00D67FA0"/>
    <w:rsid w:val="00D70803"/>
    <w:rsid w:val="00D7243C"/>
    <w:rsid w:val="00D72BB0"/>
    <w:rsid w:val="00D74328"/>
    <w:rsid w:val="00D816BE"/>
    <w:rsid w:val="00D845B5"/>
    <w:rsid w:val="00D86D23"/>
    <w:rsid w:val="00DA570E"/>
    <w:rsid w:val="00DA67AF"/>
    <w:rsid w:val="00DB2266"/>
    <w:rsid w:val="00DC3052"/>
    <w:rsid w:val="00DC6607"/>
    <w:rsid w:val="00DC7713"/>
    <w:rsid w:val="00DD017F"/>
    <w:rsid w:val="00DD3B64"/>
    <w:rsid w:val="00DD3D3C"/>
    <w:rsid w:val="00DD6D73"/>
    <w:rsid w:val="00DE0025"/>
    <w:rsid w:val="00DE1E2B"/>
    <w:rsid w:val="00DF0FA9"/>
    <w:rsid w:val="00DF2803"/>
    <w:rsid w:val="00DF54DC"/>
    <w:rsid w:val="00DF55E0"/>
    <w:rsid w:val="00E01289"/>
    <w:rsid w:val="00E02540"/>
    <w:rsid w:val="00E04F36"/>
    <w:rsid w:val="00E066D0"/>
    <w:rsid w:val="00E16E50"/>
    <w:rsid w:val="00E22CBE"/>
    <w:rsid w:val="00E36353"/>
    <w:rsid w:val="00E506F7"/>
    <w:rsid w:val="00E551AF"/>
    <w:rsid w:val="00E575A2"/>
    <w:rsid w:val="00E6229A"/>
    <w:rsid w:val="00E72FA4"/>
    <w:rsid w:val="00E80917"/>
    <w:rsid w:val="00E81330"/>
    <w:rsid w:val="00E81B67"/>
    <w:rsid w:val="00E82E79"/>
    <w:rsid w:val="00E8788E"/>
    <w:rsid w:val="00EA3C34"/>
    <w:rsid w:val="00EB341A"/>
    <w:rsid w:val="00EC00EF"/>
    <w:rsid w:val="00EC08DE"/>
    <w:rsid w:val="00EC358D"/>
    <w:rsid w:val="00ED068E"/>
    <w:rsid w:val="00ED2181"/>
    <w:rsid w:val="00ED28A9"/>
    <w:rsid w:val="00ED462F"/>
    <w:rsid w:val="00EE02AE"/>
    <w:rsid w:val="00EE3DE0"/>
    <w:rsid w:val="00EF3A6C"/>
    <w:rsid w:val="00F01360"/>
    <w:rsid w:val="00F17DDA"/>
    <w:rsid w:val="00F17EB2"/>
    <w:rsid w:val="00F21BFB"/>
    <w:rsid w:val="00F31927"/>
    <w:rsid w:val="00F323CF"/>
    <w:rsid w:val="00F34B10"/>
    <w:rsid w:val="00F42346"/>
    <w:rsid w:val="00F444C0"/>
    <w:rsid w:val="00F447DA"/>
    <w:rsid w:val="00F56F45"/>
    <w:rsid w:val="00F57617"/>
    <w:rsid w:val="00F65EE4"/>
    <w:rsid w:val="00F7329A"/>
    <w:rsid w:val="00F841E1"/>
    <w:rsid w:val="00F86ABF"/>
    <w:rsid w:val="00F871CA"/>
    <w:rsid w:val="00F9030A"/>
    <w:rsid w:val="00F91B71"/>
    <w:rsid w:val="00F92320"/>
    <w:rsid w:val="00F92B63"/>
    <w:rsid w:val="00F93C5A"/>
    <w:rsid w:val="00F96C87"/>
    <w:rsid w:val="00F97CCA"/>
    <w:rsid w:val="00FA0FB0"/>
    <w:rsid w:val="00FA4AE1"/>
    <w:rsid w:val="00FA4C2C"/>
    <w:rsid w:val="00FA6C36"/>
    <w:rsid w:val="00FB15EC"/>
    <w:rsid w:val="00FB4797"/>
    <w:rsid w:val="00FB4AE0"/>
    <w:rsid w:val="00FC0CF1"/>
    <w:rsid w:val="00FC76FD"/>
    <w:rsid w:val="00FD41C9"/>
    <w:rsid w:val="00FD6ABD"/>
    <w:rsid w:val="00FE42E9"/>
    <w:rsid w:val="00FE4300"/>
    <w:rsid w:val="00FE555B"/>
    <w:rsid w:val="00FE6431"/>
    <w:rsid w:val="00FF0C1E"/>
    <w:rsid w:val="00FF2692"/>
    <w:rsid w:val="011844A7"/>
    <w:rsid w:val="013F743B"/>
    <w:rsid w:val="02304774"/>
    <w:rsid w:val="023C68E6"/>
    <w:rsid w:val="024D01AE"/>
    <w:rsid w:val="024E7C3F"/>
    <w:rsid w:val="025D5E26"/>
    <w:rsid w:val="049236BA"/>
    <w:rsid w:val="05537479"/>
    <w:rsid w:val="055D1184"/>
    <w:rsid w:val="058962D2"/>
    <w:rsid w:val="066776D3"/>
    <w:rsid w:val="08407A24"/>
    <w:rsid w:val="08417173"/>
    <w:rsid w:val="08AF1EFD"/>
    <w:rsid w:val="0931657B"/>
    <w:rsid w:val="0A2841E6"/>
    <w:rsid w:val="0ABFD252"/>
    <w:rsid w:val="0E6B5A6A"/>
    <w:rsid w:val="0E9B617C"/>
    <w:rsid w:val="0F6E3AFA"/>
    <w:rsid w:val="10C25A1D"/>
    <w:rsid w:val="10F17891"/>
    <w:rsid w:val="10F36196"/>
    <w:rsid w:val="111F75CF"/>
    <w:rsid w:val="130F64F5"/>
    <w:rsid w:val="1384347E"/>
    <w:rsid w:val="13EC3ADB"/>
    <w:rsid w:val="15214860"/>
    <w:rsid w:val="154B25F8"/>
    <w:rsid w:val="15B57C48"/>
    <w:rsid w:val="15CD2249"/>
    <w:rsid w:val="164347EC"/>
    <w:rsid w:val="166472CD"/>
    <w:rsid w:val="187B071D"/>
    <w:rsid w:val="193949C8"/>
    <w:rsid w:val="194E2571"/>
    <w:rsid w:val="1A202AB9"/>
    <w:rsid w:val="1A733A07"/>
    <w:rsid w:val="1A7C253E"/>
    <w:rsid w:val="1AC36C5E"/>
    <w:rsid w:val="1B234BC5"/>
    <w:rsid w:val="1B2D01EC"/>
    <w:rsid w:val="1B7D1DCC"/>
    <w:rsid w:val="1BF9035C"/>
    <w:rsid w:val="1C521D4B"/>
    <w:rsid w:val="1C54557A"/>
    <w:rsid w:val="1DB55143"/>
    <w:rsid w:val="1E5B0A94"/>
    <w:rsid w:val="1EAF7DFA"/>
    <w:rsid w:val="1EB9780D"/>
    <w:rsid w:val="1EE47D7B"/>
    <w:rsid w:val="1F423580"/>
    <w:rsid w:val="1FB64162"/>
    <w:rsid w:val="201160F1"/>
    <w:rsid w:val="2178716C"/>
    <w:rsid w:val="218F78BB"/>
    <w:rsid w:val="22087F6C"/>
    <w:rsid w:val="240A064F"/>
    <w:rsid w:val="250063C1"/>
    <w:rsid w:val="25C42CA2"/>
    <w:rsid w:val="26EC3E63"/>
    <w:rsid w:val="27C36F90"/>
    <w:rsid w:val="283635F2"/>
    <w:rsid w:val="28601387"/>
    <w:rsid w:val="28B2730F"/>
    <w:rsid w:val="28DF45BA"/>
    <w:rsid w:val="2A347E7C"/>
    <w:rsid w:val="2B467EAB"/>
    <w:rsid w:val="2B5F3F13"/>
    <w:rsid w:val="2B617157"/>
    <w:rsid w:val="2C35110C"/>
    <w:rsid w:val="2DCD1F97"/>
    <w:rsid w:val="2E425C24"/>
    <w:rsid w:val="2EAD2F0F"/>
    <w:rsid w:val="2F5E7DD7"/>
    <w:rsid w:val="2F805983"/>
    <w:rsid w:val="2FC938B6"/>
    <w:rsid w:val="2FE723B5"/>
    <w:rsid w:val="305C1EA9"/>
    <w:rsid w:val="305D2651"/>
    <w:rsid w:val="30C45686"/>
    <w:rsid w:val="322B0C76"/>
    <w:rsid w:val="32B750D9"/>
    <w:rsid w:val="33973966"/>
    <w:rsid w:val="347E06B2"/>
    <w:rsid w:val="35253E1A"/>
    <w:rsid w:val="35456142"/>
    <w:rsid w:val="3568077D"/>
    <w:rsid w:val="35713376"/>
    <w:rsid w:val="364A6983"/>
    <w:rsid w:val="36E71A29"/>
    <w:rsid w:val="37DE7A68"/>
    <w:rsid w:val="38EE6B50"/>
    <w:rsid w:val="39544043"/>
    <w:rsid w:val="3A1115D5"/>
    <w:rsid w:val="3A440497"/>
    <w:rsid w:val="3ADE40AB"/>
    <w:rsid w:val="3AE7270D"/>
    <w:rsid w:val="3D0168AF"/>
    <w:rsid w:val="3D70721E"/>
    <w:rsid w:val="3DA61A1D"/>
    <w:rsid w:val="3DFBD5A8"/>
    <w:rsid w:val="3E210B17"/>
    <w:rsid w:val="3EFC6B0A"/>
    <w:rsid w:val="3F720110"/>
    <w:rsid w:val="417A3BAD"/>
    <w:rsid w:val="41D72215"/>
    <w:rsid w:val="42BD4F28"/>
    <w:rsid w:val="44F327BD"/>
    <w:rsid w:val="45926AEB"/>
    <w:rsid w:val="48AD07D4"/>
    <w:rsid w:val="497C128F"/>
    <w:rsid w:val="4AC34FBE"/>
    <w:rsid w:val="4AF813A1"/>
    <w:rsid w:val="4B675A6F"/>
    <w:rsid w:val="4CFA33B1"/>
    <w:rsid w:val="4D70193E"/>
    <w:rsid w:val="4DBD3E3D"/>
    <w:rsid w:val="4DF76373"/>
    <w:rsid w:val="4E1C4106"/>
    <w:rsid w:val="4E4E740B"/>
    <w:rsid w:val="4F606B6C"/>
    <w:rsid w:val="4F8B55F3"/>
    <w:rsid w:val="4FBA3299"/>
    <w:rsid w:val="50EA33E1"/>
    <w:rsid w:val="50F875D9"/>
    <w:rsid w:val="52E16A70"/>
    <w:rsid w:val="53A377C8"/>
    <w:rsid w:val="53E97D98"/>
    <w:rsid w:val="554253B1"/>
    <w:rsid w:val="56286351"/>
    <w:rsid w:val="5639220D"/>
    <w:rsid w:val="569A7997"/>
    <w:rsid w:val="57542111"/>
    <w:rsid w:val="57B753F5"/>
    <w:rsid w:val="57C953DA"/>
    <w:rsid w:val="58467547"/>
    <w:rsid w:val="584A6FAF"/>
    <w:rsid w:val="58525C9D"/>
    <w:rsid w:val="596112E0"/>
    <w:rsid w:val="59E51666"/>
    <w:rsid w:val="5A303A71"/>
    <w:rsid w:val="5AB96154"/>
    <w:rsid w:val="5BAD6C60"/>
    <w:rsid w:val="5DABA7AF"/>
    <w:rsid w:val="5F673A55"/>
    <w:rsid w:val="5F7F3904"/>
    <w:rsid w:val="60BA7C95"/>
    <w:rsid w:val="621907BE"/>
    <w:rsid w:val="624362E1"/>
    <w:rsid w:val="624E5081"/>
    <w:rsid w:val="629111D2"/>
    <w:rsid w:val="63A703A6"/>
    <w:rsid w:val="63D07747"/>
    <w:rsid w:val="6507628A"/>
    <w:rsid w:val="65B6122C"/>
    <w:rsid w:val="6701635F"/>
    <w:rsid w:val="67754631"/>
    <w:rsid w:val="677E606E"/>
    <w:rsid w:val="67E70444"/>
    <w:rsid w:val="6A536D5F"/>
    <w:rsid w:val="6AF431AA"/>
    <w:rsid w:val="6BF03F96"/>
    <w:rsid w:val="6DAD17E5"/>
    <w:rsid w:val="6E3C5A06"/>
    <w:rsid w:val="6ECE40E2"/>
    <w:rsid w:val="6F5D6674"/>
    <w:rsid w:val="6FE9333E"/>
    <w:rsid w:val="703A23FC"/>
    <w:rsid w:val="707A3169"/>
    <w:rsid w:val="70C25D6E"/>
    <w:rsid w:val="70D66D7A"/>
    <w:rsid w:val="70F05915"/>
    <w:rsid w:val="712C484A"/>
    <w:rsid w:val="73911636"/>
    <w:rsid w:val="73B33645"/>
    <w:rsid w:val="73D827A9"/>
    <w:rsid w:val="74344E76"/>
    <w:rsid w:val="74D83423"/>
    <w:rsid w:val="759544C6"/>
    <w:rsid w:val="75B37D43"/>
    <w:rsid w:val="75ED13EC"/>
    <w:rsid w:val="790A7FDE"/>
    <w:rsid w:val="79A16A77"/>
    <w:rsid w:val="7A0C27EC"/>
    <w:rsid w:val="7A2552AA"/>
    <w:rsid w:val="7A6FD69B"/>
    <w:rsid w:val="7AB06921"/>
    <w:rsid w:val="7AB16815"/>
    <w:rsid w:val="7ADBDB31"/>
    <w:rsid w:val="7AF23657"/>
    <w:rsid w:val="7B546D2E"/>
    <w:rsid w:val="7D1A2E4F"/>
    <w:rsid w:val="7E6D77FF"/>
    <w:rsid w:val="7EBD529C"/>
    <w:rsid w:val="7EE4207F"/>
    <w:rsid w:val="7F852778"/>
    <w:rsid w:val="7FC56D76"/>
    <w:rsid w:val="B1DF1BEA"/>
    <w:rsid w:val="BBEF70FB"/>
    <w:rsid w:val="BFBB4782"/>
    <w:rsid w:val="D979C17C"/>
    <w:rsid w:val="F5DF1E3F"/>
    <w:rsid w:val="F7FFD836"/>
    <w:rsid w:val="FC7A32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 w:cs="Times New Roman"/>
      <w:kern w:val="2"/>
      <w:sz w:val="32"/>
      <w:szCs w:val="22"/>
      <w:lang w:val="en-US" w:eastAsia="zh-CN" w:bidi="ar-SA"/>
    </w:rPr>
  </w:style>
  <w:style w:type="paragraph" w:styleId="3">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rPr>
      <w:rFonts w:ascii="宋体" w:hAnsi="宋体" w:eastAsia="宋体" w:cs="宋体"/>
      <w:sz w:val="32"/>
      <w:szCs w:val="32"/>
      <w:lang w:val="zh-CN"/>
    </w:rPr>
  </w:style>
  <w:style w:type="paragraph" w:styleId="6">
    <w:name w:val="Body Text Indent"/>
    <w:basedOn w:val="1"/>
    <w:unhideWhenUsed/>
    <w:qFormat/>
    <w:uiPriority w:val="99"/>
    <w:pPr>
      <w:spacing w:after="120"/>
      <w:ind w:left="420" w:leftChars="200"/>
    </w:pPr>
  </w:style>
  <w:style w:type="paragraph" w:styleId="7">
    <w:name w:val="toc 3"/>
    <w:basedOn w:val="1"/>
    <w:next w:val="1"/>
    <w:qFormat/>
    <w:uiPriority w:val="99"/>
    <w:pPr>
      <w:ind w:left="840" w:leftChars="400"/>
    </w:pPr>
  </w:style>
  <w:style w:type="paragraph" w:styleId="8">
    <w:name w:val="Balloon Text"/>
    <w:basedOn w:val="1"/>
    <w:link w:val="26"/>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style>
  <w:style w:type="paragraph" w:styleId="12">
    <w:name w:val="toc 2"/>
    <w:basedOn w:val="1"/>
    <w:next w:val="1"/>
    <w:qFormat/>
    <w:uiPriority w:val="99"/>
    <w:pPr>
      <w:ind w:left="420" w:leftChars="200"/>
    </w:pPr>
  </w:style>
  <w:style w:type="paragraph" w:styleId="13">
    <w:name w:val="Normal (Web)"/>
    <w:basedOn w:val="1"/>
    <w:semiHidden/>
    <w:qFormat/>
    <w:uiPriority w:val="99"/>
    <w:pPr>
      <w:spacing w:beforeAutospacing="1" w:afterAutospacing="1"/>
      <w:jc w:val="left"/>
    </w:pPr>
    <w:rPr>
      <w:kern w:val="0"/>
      <w:sz w:val="24"/>
    </w:rPr>
  </w:style>
  <w:style w:type="paragraph" w:styleId="14">
    <w:name w:val="Body Text First Indent 2"/>
    <w:basedOn w:val="6"/>
    <w:unhideWhenUsed/>
    <w:qFormat/>
    <w:uiPriority w:val="0"/>
    <w:pPr>
      <w:ind w:firstLine="420" w:firstLineChars="200"/>
    </w:p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rFonts w:cs="Times New Roman"/>
      <w:b/>
    </w:rPr>
  </w:style>
  <w:style w:type="character" w:styleId="19">
    <w:name w:val="page number"/>
    <w:basedOn w:val="17"/>
    <w:qFormat/>
    <w:uiPriority w:val="0"/>
    <w:rPr>
      <w:rFonts w:ascii="Times New Roman" w:hAnsi="Times New Roman" w:eastAsia="宋体"/>
      <w:sz w:val="24"/>
    </w:rPr>
  </w:style>
  <w:style w:type="character" w:styleId="20">
    <w:name w:val="Emphasis"/>
    <w:basedOn w:val="17"/>
    <w:qFormat/>
    <w:locked/>
    <w:uiPriority w:val="0"/>
    <w:rPr>
      <w:i/>
    </w:rPr>
  </w:style>
  <w:style w:type="character" w:styleId="21">
    <w:name w:val="Hyperlink"/>
    <w:basedOn w:val="17"/>
    <w:qFormat/>
    <w:uiPriority w:val="99"/>
    <w:rPr>
      <w:rFonts w:cs="Times New Roman"/>
      <w:color w:val="0563C1"/>
      <w:u w:val="single"/>
    </w:rPr>
  </w:style>
  <w:style w:type="character" w:customStyle="1" w:styleId="22">
    <w:name w:val="标题 1 字符"/>
    <w:basedOn w:val="17"/>
    <w:link w:val="3"/>
    <w:qFormat/>
    <w:locked/>
    <w:uiPriority w:val="99"/>
    <w:rPr>
      <w:rFonts w:cs="Times New Roman"/>
      <w:b/>
      <w:bCs/>
      <w:kern w:val="44"/>
      <w:sz w:val="44"/>
      <w:szCs w:val="44"/>
    </w:rPr>
  </w:style>
  <w:style w:type="character" w:customStyle="1" w:styleId="23">
    <w:name w:val="标题 2 字符"/>
    <w:basedOn w:val="17"/>
    <w:link w:val="4"/>
    <w:semiHidden/>
    <w:qFormat/>
    <w:locked/>
    <w:uiPriority w:val="99"/>
    <w:rPr>
      <w:rFonts w:ascii="等线 Light" w:hAnsi="等线 Light" w:eastAsia="等线 Light" w:cs="Times New Roman"/>
      <w:b/>
      <w:bCs/>
      <w:sz w:val="32"/>
      <w:szCs w:val="32"/>
    </w:rPr>
  </w:style>
  <w:style w:type="character" w:customStyle="1" w:styleId="24">
    <w:name w:val="标题 3 字符"/>
    <w:basedOn w:val="17"/>
    <w:link w:val="5"/>
    <w:qFormat/>
    <w:locked/>
    <w:uiPriority w:val="99"/>
    <w:rPr>
      <w:rFonts w:cs="Times New Roman"/>
      <w:b/>
      <w:bCs/>
      <w:sz w:val="32"/>
      <w:szCs w:val="32"/>
    </w:rPr>
  </w:style>
  <w:style w:type="character" w:customStyle="1" w:styleId="25">
    <w:name w:val="正文文本 字符"/>
    <w:basedOn w:val="17"/>
    <w:link w:val="2"/>
    <w:semiHidden/>
    <w:qFormat/>
    <w:uiPriority w:val="99"/>
    <w:rPr>
      <w:rFonts w:ascii="等线" w:hAnsi="等线" w:eastAsia="等线"/>
    </w:rPr>
  </w:style>
  <w:style w:type="character" w:customStyle="1" w:styleId="26">
    <w:name w:val="批注框文本 字符"/>
    <w:basedOn w:val="17"/>
    <w:link w:val="8"/>
    <w:semiHidden/>
    <w:qFormat/>
    <w:locked/>
    <w:uiPriority w:val="99"/>
    <w:rPr>
      <w:rFonts w:ascii="等线" w:hAnsi="等线" w:eastAsia="等线" w:cs="Times New Roman"/>
      <w:kern w:val="2"/>
      <w:sz w:val="18"/>
      <w:szCs w:val="18"/>
    </w:rPr>
  </w:style>
  <w:style w:type="character" w:customStyle="1" w:styleId="27">
    <w:name w:val="页脚 字符"/>
    <w:basedOn w:val="17"/>
    <w:link w:val="9"/>
    <w:qFormat/>
    <w:locked/>
    <w:uiPriority w:val="99"/>
    <w:rPr>
      <w:rFonts w:cs="Times New Roman"/>
      <w:sz w:val="18"/>
      <w:szCs w:val="18"/>
    </w:rPr>
  </w:style>
  <w:style w:type="character" w:customStyle="1" w:styleId="28">
    <w:name w:val="页眉 字符"/>
    <w:basedOn w:val="17"/>
    <w:link w:val="10"/>
    <w:qFormat/>
    <w:locked/>
    <w:uiPriority w:val="99"/>
    <w:rPr>
      <w:rFonts w:cs="Times New Roman"/>
      <w:sz w:val="18"/>
      <w:szCs w:val="18"/>
    </w:rPr>
  </w:style>
  <w:style w:type="paragraph" w:customStyle="1" w:styleId="29">
    <w:name w:val="TOC 标题1"/>
    <w:basedOn w:val="3"/>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0">
    <w:name w:val="List Paragraph"/>
    <w:basedOn w:val="1"/>
    <w:qFormat/>
    <w:uiPriority w:val="99"/>
    <w:pPr>
      <w:ind w:firstLine="420" w:firstLineChars="200"/>
    </w:pPr>
  </w:style>
  <w:style w:type="character" w:customStyle="1" w:styleId="31">
    <w:name w:val="font71"/>
    <w:qFormat/>
    <w:uiPriority w:val="0"/>
    <w:rPr>
      <w:rFonts w:hint="eastAsia" w:ascii="宋体" w:hAnsi="宋体" w:eastAsia="宋体" w:cs="宋体"/>
      <w:color w:val="000000"/>
      <w:sz w:val="21"/>
      <w:szCs w:val="21"/>
      <w:u w:val="none"/>
    </w:rPr>
  </w:style>
  <w:style w:type="character" w:customStyle="1" w:styleId="32">
    <w:name w:val="font11"/>
    <w:qFormat/>
    <w:uiPriority w:val="0"/>
    <w:rPr>
      <w:rFonts w:ascii="Calibri" w:hAnsi="Calibri" w:cs="Calibri"/>
      <w:color w:val="000000"/>
      <w:sz w:val="21"/>
      <w:szCs w:val="21"/>
      <w:u w:val="none"/>
    </w:rPr>
  </w:style>
  <w:style w:type="character" w:customStyle="1" w:styleId="33">
    <w:name w:val="font101"/>
    <w:basedOn w:val="17"/>
    <w:qFormat/>
    <w:uiPriority w:val="0"/>
    <w:rPr>
      <w:rFonts w:hint="default"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ndzx-1\Documents\WeChat%20Files\wxid_xhksxjhctvad22\FileStorage\File\2020-09\&#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00" b="1"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楷体" panose="02010609060101010101" pitchFamily="3" charset="-122"/>
                <a:sym typeface="楷体" panose="02010609060101010101" pitchFamily="3" charset="-122"/>
              </a:defRPr>
            </a:pPr>
            <a:r>
              <a:rPr lang="zh-CN" altLang="en-US" sz="1200" b="0">
                <a:latin typeface="楷体" panose="02010609060101010101" pitchFamily="3" charset="-122"/>
                <a:ea typeface="楷体" panose="02010609060101010101" pitchFamily="3" charset="-122"/>
                <a:cs typeface="楷体" panose="02010609060101010101" pitchFamily="3" charset="-122"/>
                <a:sym typeface="楷体" panose="02010609060101010101" pitchFamily="3" charset="-122"/>
              </a:rPr>
              <a:t>单位：亿元</a:t>
            </a:r>
            <a:endParaRPr lang="zh-CN" altLang="en-US" sz="1200" b="0">
              <a:latin typeface="楷体" panose="02010609060101010101" pitchFamily="3" charset="-122"/>
              <a:ea typeface="楷体" panose="02010609060101010101" pitchFamily="3" charset="-122"/>
              <a:cs typeface="楷体" panose="02010609060101010101" pitchFamily="3" charset="-122"/>
              <a:sym typeface="楷体" panose="02010609060101010101" pitchFamily="3" charset="-122"/>
            </a:endParaRPr>
          </a:p>
        </c:rich>
      </c:tx>
      <c:layout>
        <c:manualLayout>
          <c:xMode val="edge"/>
          <c:yMode val="edge"/>
          <c:x val="0.814271868185122"/>
          <c:y val="0.897"/>
        </c:manualLayout>
      </c:layout>
      <c:overlay val="0"/>
      <c:spPr>
        <a:noFill/>
        <a:ln>
          <a:noFill/>
        </a:ln>
        <a:effectLst/>
      </c:spPr>
    </c:title>
    <c:autoTitleDeleted val="0"/>
    <c:plotArea>
      <c:layout/>
      <c:barChart>
        <c:barDir val="col"/>
        <c:grouping val="clustered"/>
        <c:varyColors val="0"/>
        <c:ser>
          <c:idx val="0"/>
          <c:order val="0"/>
          <c:tx>
            <c:strRef>
              <c:f>[工作簿1.xlsx]Sheet1!$C$4</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Regular" panose="02020503050405090304" charset="0"/>
                    <a:ea typeface="Times New Roman Regular" panose="02020503050405090304" charset="0"/>
                    <a:cs typeface="Times New Roman Regular" panose="02020503050405090304" charset="0"/>
                    <a:sym typeface="Times New Roman Regular" panose="0202050305040509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[工作簿1.xlsx]Sheet1!$A$5:$B$7</c:f>
              <c:multiLvlStrCache>
                <c:ptCount val="3"/>
                <c:lvl>
                  <c:pt idx="0">
                    <c:v>工业增加值</c:v>
                  </c:pt>
                  <c:pt idx="1">
                    <c:v>规上工业增加值</c:v>
                  </c:pt>
                  <c:pt idx="2">
                    <c:v>规上工业总产值</c:v>
                  </c:pt>
                </c:lvl>
                <c:lvl>
                  <c:pt idx="0" c:formatCode="[Red]&quot;▲&quot;* 0.0%;[Green]&quot;▼&quot;* \-0.0%;\-">
                    <c:v>▲11.6%</c:v>
                  </c:pt>
                  <c:pt idx="1" c:formatCode="[Red]&quot;▲&quot;* 0.0%;[Green]&quot;▼&quot;* \-0.0%;\-">
                    <c:v>▲12.0%</c:v>
                  </c:pt>
                  <c:pt idx="2" c:formatCode="[Red]&quot;▲&quot;* 0.0%;[Green]&quot;▼&quot;* \-0.0%;\-">
                    <c:v>▲14.9%</c:v>
                  </c:pt>
                </c:lvl>
              </c:multiLvlStrCache>
            </c:multiLvlStrRef>
          </c:cat>
          <c:val>
            <c:numRef>
              <c:f>[工作簿1.xlsx]Sheet1!$C$5:$C$7</c:f>
              <c:numCache>
                <c:formatCode>General</c:formatCode>
                <c:ptCount val="3"/>
                <c:pt idx="0">
                  <c:v>13.18</c:v>
                </c:pt>
                <c:pt idx="1">
                  <c:v>10.96</c:v>
                </c:pt>
                <c:pt idx="2">
                  <c:v>38.75</c:v>
                </c:pt>
              </c:numCache>
            </c:numRef>
          </c:val>
        </c:ser>
        <c:ser>
          <c:idx val="1"/>
          <c:order val="1"/>
          <c:tx>
            <c:strRef>
              <c:f>[工作簿1.xlsx]Sheet1!$D$4</c:f>
              <c:strCache>
                <c:ptCount val="1"/>
                <c:pt idx="0">
                  <c:v>2019年</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Regular" panose="02020503050405090304" charset="0"/>
                    <a:ea typeface="Times New Roman Regular" panose="02020503050405090304" charset="0"/>
                    <a:cs typeface="Times New Roman Regular" panose="02020503050405090304" charset="0"/>
                    <a:sym typeface="Times New Roman Regular" panose="0202050305040509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[工作簿1.xlsx]Sheet1!$A$5:$B$7</c:f>
              <c:multiLvlStrCache>
                <c:ptCount val="3"/>
                <c:lvl>
                  <c:pt idx="0">
                    <c:v>工业增加值</c:v>
                  </c:pt>
                  <c:pt idx="1">
                    <c:v>规上工业增加值</c:v>
                  </c:pt>
                  <c:pt idx="2">
                    <c:v>规上工业总产值</c:v>
                  </c:pt>
                </c:lvl>
                <c:lvl>
                  <c:pt idx="0" c:formatCode="[Red]&quot;▲&quot;* 0.0%;[Green]&quot;▼&quot;* \-0.0%;\-">
                    <c:v>▲11.6%</c:v>
                  </c:pt>
                  <c:pt idx="1" c:formatCode="[Red]&quot;▲&quot;* 0.0%;[Green]&quot;▼&quot;* \-0.0%;\-">
                    <c:v>▲12.0%</c:v>
                  </c:pt>
                  <c:pt idx="2" c:formatCode="[Red]&quot;▲&quot;* 0.0%;[Green]&quot;▼&quot;* \-0.0%;\-">
                    <c:v>▲14.9%</c:v>
                  </c:pt>
                </c:lvl>
              </c:multiLvlStrCache>
            </c:multiLvlStrRef>
          </c:cat>
          <c:val>
            <c:numRef>
              <c:f>[工作簿1.xlsx]Sheet1!$D$5:$D$7</c:f>
              <c:numCache>
                <c:formatCode>General</c:formatCode>
                <c:ptCount val="3"/>
                <c:pt idx="0">
                  <c:v>14.94</c:v>
                </c:pt>
                <c:pt idx="1">
                  <c:v>12.41</c:v>
                </c:pt>
                <c:pt idx="2">
                  <c:v>44.51</c:v>
                </c:pt>
              </c:numCache>
            </c:numRef>
          </c:val>
        </c:ser>
        <c:dLbls>
          <c:showLegendKey val="0"/>
          <c:showVal val="0"/>
          <c:showCatName val="0"/>
          <c:showSerName val="0"/>
          <c:showPercent val="0"/>
          <c:showBubbleSize val="0"/>
        </c:dLbls>
        <c:gapWidth val="219"/>
        <c:overlap val="-27"/>
        <c:axId val="459823474"/>
        <c:axId val="822838931"/>
      </c:barChart>
      <c:catAx>
        <c:axId val="459823474"/>
        <c:scaling>
          <c:orientation val="minMax"/>
        </c:scaling>
        <c:delete val="0"/>
        <c:axPos val="b"/>
        <c:majorTickMark val="none"/>
        <c:minorTickMark val="none"/>
        <c:tickLblPos val="nextTo"/>
        <c:spPr>
          <a:noFill/>
          <a:ln w="9525" cap="flat" cmpd="sng" algn="ctr">
            <a:noFill/>
            <a:round/>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楷体" panose="02010609060101010101" pitchFamily="3" charset="-122"/>
                <a:sym typeface="楷体" panose="02010609060101010101" pitchFamily="3" charset="-122"/>
              </a:defRPr>
            </a:pPr>
          </a:p>
        </c:txPr>
        <c:crossAx val="822838931"/>
        <c:crosses val="autoZero"/>
        <c:auto val="1"/>
        <c:lblAlgn val="ctr"/>
        <c:lblOffset val="100"/>
        <c:noMultiLvlLbl val="0"/>
      </c:catAx>
      <c:valAx>
        <c:axId val="8228389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楷体" panose="02010609060101010101" pitchFamily="3" charset="-122"/>
                <a:sym typeface="楷体" panose="02010609060101010101" pitchFamily="3" charset="-122"/>
              </a:defRPr>
            </a:pPr>
          </a:p>
        </c:txPr>
        <c:crossAx val="45982347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楷体" panose="02010609060101010101" pitchFamily="3" charset="-122"/>
                <a:sym typeface="楷体" panose="02010609060101010101" pitchFamily="3" charset="-122"/>
              </a:defRPr>
            </a:pPr>
          </a:p>
        </c:txPr>
      </c:legendEntry>
      <c:legendEntry>
        <c:idx val="1"/>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楷体" panose="02010609060101010101" pitchFamily="3" charset="-122"/>
                <a:sym typeface="楷体" panose="02010609060101010101" pitchFamily="3" charset="-122"/>
              </a:defRPr>
            </a:pPr>
          </a:p>
        </c:txPr>
      </c:legendEntry>
      <c:layout/>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楷体" panose="02010609060101010101" pitchFamily="3" charset="-122"/>
              <a:sym typeface="楷体" panose="02010609060101010101" pitchFamily="3" charset="-122"/>
            </a:defRPr>
          </a:pPr>
        </a:p>
      </c:txPr>
    </c:legend>
    <c:plotVisOnly val="1"/>
    <c:dispBlanksAs val="gap"/>
    <c:showDLblsOverMax val="0"/>
  </c:chart>
  <c:spPr>
    <a:solidFill>
      <a:schemeClr val="bg1"/>
    </a:solidFill>
    <a:ln w="12700" cap="flat" cmpd="sng" algn="ctr">
      <a:solidFill>
        <a:schemeClr val="tx1"/>
      </a:solidFill>
      <a:round/>
    </a:ln>
    <a:effectLst/>
  </c:spPr>
  <c:txPr>
    <a:bodyPr/>
    <a:lstStyle/>
    <a:p>
      <a:pPr>
        <a:defRPr lang="en-US" sz="1200">
          <a:latin typeface="楷体" panose="02010609060101010101" pitchFamily="3" charset="-122"/>
          <a:ea typeface="楷体" panose="02010609060101010101" pitchFamily="3" charset="-122"/>
          <a:cs typeface="楷体" panose="02010609060101010101" pitchFamily="3" charset="-122"/>
          <a:sym typeface="楷体" panose="02010609060101010101" pitchFamily="3"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2545</Words>
  <Characters>14508</Characters>
  <Lines>120</Lines>
  <Paragraphs>34</Paragraphs>
  <TotalTime>64</TotalTime>
  <ScaleCrop>false</ScaleCrop>
  <LinksUpToDate>false</LinksUpToDate>
  <CharactersWithSpaces>17019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2020-09-03T07:34:00Z</dcterms:created>
  <dc:creator>wei ziyang</dc:creator>
  <cp:lastModifiedBy>-</cp:lastModifiedBy>
  <cp:lastPrinted>2020-10-29T03:06:00Z</cp:lastPrinted>
  <dcterms:modified xsi:type="dcterms:W3CDTF">2020-11-10T03:08:27Z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