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小标宋_GBK" w:hAnsi="方正小标宋_GBK" w:eastAsia="方正小标宋_GBK" w:cs="方正小标宋_GBK"/>
          <w:sz w:val="52"/>
          <w:szCs w:val="52"/>
          <w:highlight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大标宋简体" w:hAnsi="方正大标宋简体" w:eastAsia="方正大标宋简体" w:cs="方正大标宋简体"/>
          <w:sz w:val="52"/>
          <w:szCs w:val="52"/>
          <w:highlight w:val="none"/>
          <w:lang w:eastAsia="zh-CN"/>
        </w:rPr>
      </w:pPr>
      <w:r>
        <w:rPr>
          <w:rFonts w:hint="eastAsia" w:ascii="方正大标宋简体" w:hAnsi="方正大标宋简体" w:eastAsia="方正大标宋简体" w:cs="方正大标宋简体"/>
          <w:sz w:val="52"/>
          <w:szCs w:val="52"/>
          <w:highlight w:val="none"/>
          <w:lang w:eastAsia="zh-CN"/>
        </w:rPr>
        <w:t>新丰县</w:t>
      </w:r>
      <w:r>
        <w:rPr>
          <w:rFonts w:hint="eastAsia" w:ascii="方正大标宋简体" w:hAnsi="方正大标宋简体" w:eastAsia="方正大标宋简体" w:cs="方正大标宋简体"/>
          <w:sz w:val="52"/>
          <w:szCs w:val="52"/>
          <w:highlight w:val="none"/>
          <w:lang w:val="en-US" w:eastAsia="zh-CN"/>
        </w:rPr>
        <w:t>科技创新“十四五”</w:t>
      </w:r>
      <w:r>
        <w:rPr>
          <w:rFonts w:hint="eastAsia" w:ascii="方正大标宋简体" w:hAnsi="方正大标宋简体" w:eastAsia="方正大标宋简体" w:cs="方正大标宋简体"/>
          <w:sz w:val="52"/>
          <w:szCs w:val="52"/>
          <w:highlight w:val="none"/>
          <w:lang w:eastAsia="zh-CN"/>
        </w:rPr>
        <w:t>规划</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大标宋简体" w:hAnsi="方正大标宋简体" w:eastAsia="方正大标宋简体" w:cs="方正大标宋简体"/>
          <w:sz w:val="52"/>
          <w:szCs w:val="52"/>
          <w:highlight w:val="none"/>
          <w:lang w:eastAsia="zh-CN"/>
        </w:rPr>
      </w:pPr>
      <w:r>
        <w:rPr>
          <w:rFonts w:hint="eastAsia" w:ascii="方正大标宋简体" w:hAnsi="方正大标宋简体" w:eastAsia="方正大标宋简体" w:cs="方正大标宋简体"/>
          <w:sz w:val="52"/>
          <w:szCs w:val="52"/>
          <w:highlight w:val="none"/>
          <w:lang w:eastAsia="zh-CN"/>
        </w:rPr>
        <w:t>（</w:t>
      </w:r>
      <w:r>
        <w:rPr>
          <w:rFonts w:hint="eastAsia" w:ascii="方正大标宋简体" w:hAnsi="方正大标宋简体" w:eastAsia="方正大标宋简体" w:cs="方正大标宋简体"/>
          <w:sz w:val="52"/>
          <w:szCs w:val="52"/>
          <w:highlight w:val="none"/>
          <w:lang w:val="en-US" w:eastAsia="zh-CN"/>
        </w:rPr>
        <w:t>2021-2025</w:t>
      </w:r>
      <w:r>
        <w:rPr>
          <w:rFonts w:hint="eastAsia" w:ascii="方正大标宋简体" w:hAnsi="方正大标宋简体" w:eastAsia="方正大标宋简体" w:cs="方正大标宋简体"/>
          <w:sz w:val="52"/>
          <w:szCs w:val="5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小标宋_GBK" w:hAnsi="方正小标宋_GBK" w:eastAsia="方正小标宋_GBK" w:cs="方正小标宋_GBK"/>
          <w:sz w:val="52"/>
          <w:szCs w:val="52"/>
          <w:highlight w:val="none"/>
          <w:lang w:eastAsia="zh-CN"/>
        </w:rPr>
      </w:pPr>
      <w:r>
        <w:rPr>
          <w:rFonts w:hint="eastAsia" w:ascii="方正大标宋简体" w:hAnsi="方正大标宋简体" w:eastAsia="方正大标宋简体" w:cs="方正大标宋简体"/>
          <w:sz w:val="52"/>
          <w:szCs w:val="52"/>
          <w:highlight w:val="none"/>
          <w:lang w:eastAsia="zh-CN"/>
        </w:rPr>
        <w:t>（送审稿）</w:t>
      </w:r>
    </w:p>
    <w:p>
      <w:pPr>
        <w:spacing w:line="360" w:lineRule="auto"/>
        <w:ind w:left="0" w:leftChars="0" w:firstLine="0" w:firstLineChars="0"/>
        <w:jc w:val="center"/>
        <w:rPr>
          <w:rFonts w:hint="eastAsia" w:ascii="宋体" w:hAnsi="宋体" w:eastAsia="宋体" w:cs="宋体"/>
          <w:b/>
          <w:color w:val="auto"/>
          <w:sz w:val="32"/>
          <w:highlight w:val="none"/>
          <w:lang w:val="en-US" w:eastAsia="zh-CN"/>
        </w:rPr>
      </w:pPr>
    </w:p>
    <w:p>
      <w:pPr>
        <w:spacing w:line="360" w:lineRule="auto"/>
        <w:ind w:left="0" w:leftChars="0" w:firstLine="0" w:firstLineChars="0"/>
        <w:jc w:val="center"/>
        <w:rPr>
          <w:rFonts w:hint="eastAsia" w:ascii="宋体" w:hAnsi="宋体" w:eastAsia="宋体" w:cs="宋体"/>
          <w:b/>
          <w:color w:val="auto"/>
          <w:sz w:val="32"/>
          <w:highlight w:val="none"/>
          <w:lang w:val="en-US" w:eastAsia="zh-CN"/>
        </w:rPr>
      </w:pPr>
    </w:p>
    <w:p>
      <w:pPr>
        <w:spacing w:line="360" w:lineRule="auto"/>
        <w:ind w:left="0" w:leftChars="0" w:firstLine="0" w:firstLineChars="0"/>
        <w:jc w:val="center"/>
        <w:rPr>
          <w:rFonts w:hint="eastAsia" w:ascii="宋体" w:hAnsi="宋体" w:eastAsia="宋体" w:cs="宋体"/>
          <w:b/>
          <w:color w:val="auto"/>
          <w:sz w:val="32"/>
          <w:highlight w:val="none"/>
          <w:lang w:val="en-US" w:eastAsia="zh-CN"/>
        </w:rPr>
      </w:pPr>
    </w:p>
    <w:p>
      <w:pPr>
        <w:spacing w:line="360" w:lineRule="auto"/>
        <w:ind w:left="0" w:leftChars="0" w:firstLine="0" w:firstLineChars="0"/>
        <w:jc w:val="center"/>
        <w:rPr>
          <w:rFonts w:hint="eastAsia" w:ascii="宋体" w:hAnsi="宋体" w:eastAsia="宋体" w:cs="宋体"/>
          <w:b/>
          <w:color w:val="auto"/>
          <w:sz w:val="32"/>
          <w:highlight w:val="none"/>
          <w:lang w:val="en-US" w:eastAsia="zh-CN"/>
        </w:rPr>
      </w:pPr>
    </w:p>
    <w:p>
      <w:pPr>
        <w:spacing w:line="360" w:lineRule="auto"/>
        <w:ind w:left="0" w:leftChars="0" w:firstLine="0" w:firstLineChars="0"/>
        <w:jc w:val="center"/>
        <w:rPr>
          <w:rFonts w:hint="eastAsia" w:ascii="宋体" w:hAnsi="宋体" w:eastAsia="宋体" w:cs="宋体"/>
          <w:b/>
          <w:color w:val="auto"/>
          <w:sz w:val="32"/>
          <w:highlight w:val="none"/>
          <w:lang w:val="en-US" w:eastAsia="zh-CN"/>
        </w:rPr>
      </w:pPr>
    </w:p>
    <w:p>
      <w:pPr>
        <w:spacing w:line="360" w:lineRule="auto"/>
        <w:ind w:left="0" w:leftChars="0" w:firstLine="0" w:firstLineChars="0"/>
        <w:jc w:val="center"/>
        <w:rPr>
          <w:rFonts w:hint="eastAsia" w:ascii="宋体" w:hAnsi="宋体" w:eastAsia="宋体" w:cs="宋体"/>
          <w:b/>
          <w:color w:val="auto"/>
          <w:sz w:val="32"/>
          <w:highlight w:val="none"/>
          <w:lang w:val="en-US" w:eastAsia="zh-CN"/>
        </w:rPr>
      </w:pPr>
    </w:p>
    <w:p>
      <w:pPr>
        <w:spacing w:line="360" w:lineRule="auto"/>
        <w:ind w:left="0" w:leftChars="0" w:firstLine="0" w:firstLineChars="0"/>
        <w:jc w:val="center"/>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lang w:val="en-US" w:eastAsia="zh-CN"/>
        </w:rPr>
        <w:t>新丰县工业和信息化局</w:t>
      </w:r>
    </w:p>
    <w:p>
      <w:pPr>
        <w:spacing w:line="360" w:lineRule="auto"/>
        <w:ind w:left="0" w:leftChars="0" w:firstLine="0" w:firstLineChars="0"/>
        <w:jc w:val="center"/>
        <w:rPr>
          <w:rFonts w:hint="eastAsia" w:ascii="仿宋_GB2312" w:hAnsi="仿宋_GB2312" w:eastAsia="仿宋_GB2312" w:cs="仿宋_GB2312"/>
          <w:sz w:val="32"/>
          <w:szCs w:val="32"/>
          <w:lang w:eastAsia="zh-CN"/>
        </w:rPr>
      </w:pPr>
      <w:bookmarkStart w:id="85" w:name="_GoBack"/>
      <w:bookmarkEnd w:id="85"/>
      <w:r>
        <w:rPr>
          <w:rFonts w:hint="eastAsia" w:ascii="宋体" w:hAnsi="宋体" w:eastAsia="宋体" w:cs="宋体"/>
          <w:b/>
          <w:color w:val="auto"/>
          <w:sz w:val="32"/>
          <w:highlight w:val="none"/>
        </w:rPr>
        <w:t>二〇</w:t>
      </w:r>
      <w:r>
        <w:rPr>
          <w:rFonts w:hint="eastAsia" w:ascii="宋体" w:hAnsi="宋体" w:eastAsia="宋体" w:cs="宋体"/>
          <w:b/>
          <w:color w:val="auto"/>
          <w:sz w:val="32"/>
          <w:highlight w:val="none"/>
          <w:lang w:val="en-US" w:eastAsia="zh-CN"/>
        </w:rPr>
        <w:t>二</w:t>
      </w:r>
      <w:r>
        <w:rPr>
          <w:rFonts w:hint="eastAsia" w:ascii="宋体" w:hAnsi="宋体" w:eastAsia="宋体" w:cs="宋体"/>
          <w:b/>
          <w:color w:val="auto"/>
          <w:sz w:val="32"/>
          <w:highlight w:val="none"/>
        </w:rPr>
        <w:t>〇年</w:t>
      </w:r>
      <w:r>
        <w:rPr>
          <w:rFonts w:hint="eastAsia" w:ascii="宋体" w:hAnsi="宋体" w:cs="宋体"/>
          <w:b/>
          <w:color w:val="auto"/>
          <w:sz w:val="32"/>
          <w:highlight w:val="none"/>
          <w:lang w:val="en-US" w:eastAsia="zh-CN"/>
        </w:rPr>
        <w:t>十</w:t>
      </w:r>
      <w:r>
        <w:rPr>
          <w:rFonts w:hint="eastAsia" w:ascii="宋体" w:hAnsi="宋体" w:eastAsia="宋体" w:cs="宋体"/>
          <w:b/>
          <w:color w:val="auto"/>
          <w:sz w:val="32"/>
          <w:highlight w:val="none"/>
        </w:rPr>
        <w:t>月</w:t>
      </w:r>
    </w:p>
    <w:p>
      <w:pPr>
        <w:pStyle w:val="16"/>
        <w:adjustRightInd w:val="0"/>
        <w:snapToGrid w:val="0"/>
        <w:spacing w:line="324" w:lineRule="auto"/>
        <w:ind w:firstLine="0" w:firstLineChars="0"/>
        <w:jc w:val="center"/>
        <w:rPr>
          <w:rFonts w:ascii="黑体" w:hAnsi="黑体" w:eastAsia="黑体" w:cstheme="minorBidi"/>
          <w:b/>
          <w:bCs/>
          <w:kern w:val="44"/>
          <w:sz w:val="44"/>
          <w:szCs w:val="44"/>
        </w:rPr>
      </w:pPr>
      <w:r>
        <w:rPr>
          <w:rFonts w:hint="eastAsia" w:ascii="黑体" w:hAnsi="黑体" w:eastAsia="黑体" w:cstheme="minorBidi"/>
          <w:b/>
          <w:bCs/>
          <w:kern w:val="44"/>
          <w:sz w:val="44"/>
          <w:szCs w:val="44"/>
        </w:rPr>
        <w:t>前 言</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十四五”是我国实现“两个一百年”奋斗目标的历史交汇期，实现中华民族伟大复兴的中国梦，必须坚持走中国特色自主创新道路，面向世界科技前沿、面向经济主战场、面向国家重大需求，加快各领域科技创新，掌握全球科技竞争先机。新丰县全面贯彻落实创新驱动发展战略，破解发展难题、厚植发展优势，认真落实省级全面创新改革试点、技术创新体系试点的重要任务。</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根据国务院《关于推动创新创业高质量发展打造“双创”升级版的意见》、广东省《关于进一步促进科技创新的若干政策措施》（粤府〔2019〕1号）、韶关市《关于进一步促进科技创新的若干政策措施实施指引》的通知（韶府〔2019〕19号）、新丰县人民政府关于印发《新丰县产业发展规划（2018—2025年）》的通知、《新丰县国民经济和社会发展第十四个五年规划基本思路》的总体要求，结合新丰县科技创新发展现状，编制本规划（征求意见稿），规划期为2021-2025年。</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sectPr>
          <w:footerReference r:id="rId3" w:type="default"/>
          <w:pgSz w:w="11906" w:h="16838"/>
          <w:pgMar w:top="2041" w:right="1474" w:bottom="1134" w:left="1587" w:header="851" w:footer="1474" w:gutter="0"/>
          <w:cols w:space="720" w:num="1"/>
          <w:docGrid w:type="linesAndChars" w:linePitch="632" w:charSpace="-1065"/>
        </w:sectPr>
      </w:pPr>
    </w:p>
    <w:sdt>
      <w:sdtPr>
        <w:rPr>
          <w:rFonts w:hint="eastAsia" w:ascii="黑体" w:hAnsi="黑体" w:eastAsia="黑体" w:cs="黑体"/>
          <w:sz w:val="44"/>
          <w:szCs w:val="44"/>
        </w:rPr>
        <w:id w:val="147453474"/>
        <w15:color w:val="DBDBDB"/>
        <w:docPartObj>
          <w:docPartGallery w:val="Table of Contents"/>
          <w:docPartUnique/>
        </w:docPartObj>
      </w:sdtPr>
      <w:sdtEndPr>
        <w:rPr>
          <w:rFonts w:hint="eastAsia" w:ascii="Times New Roman" w:hAnsi="Times New Roman" w:eastAsia="仿宋_GB2312" w:cs="黑体"/>
          <w:color w:val="000000"/>
          <w:sz w:val="21"/>
          <w:szCs w:val="32"/>
        </w:rPr>
      </w:sdtEndPr>
      <w:sdtContent>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目 录</w:t>
          </w:r>
        </w:p>
        <w:p>
          <w:pPr>
            <w:pStyle w:val="8"/>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color w:val="000000"/>
              <w:szCs w:val="32"/>
            </w:rPr>
            <w:fldChar w:fldCharType="begin"/>
          </w:r>
          <w:r>
            <w:rPr>
              <w:color w:val="000000"/>
              <w:szCs w:val="32"/>
            </w:rPr>
            <w:instrText xml:space="preserve">TOC \o "1-3" \h \u </w:instrText>
          </w:r>
          <w:r>
            <w:rPr>
              <w:color w:val="000000"/>
              <w:szCs w:val="32"/>
            </w:rPr>
            <w:fldChar w:fldCharType="separate"/>
          </w:r>
          <w:r>
            <w:rPr>
              <w:color w:val="000000"/>
              <w:szCs w:val="32"/>
            </w:rPr>
            <w:fldChar w:fldCharType="begin"/>
          </w:r>
          <w:r>
            <w:rPr>
              <w:szCs w:val="32"/>
            </w:rPr>
            <w:instrText xml:space="preserve"> HYPERLINK \l _Toc31849 </w:instrText>
          </w:r>
          <w:r>
            <w:rPr>
              <w:szCs w:val="32"/>
            </w:rPr>
            <w:fldChar w:fldCharType="separate"/>
          </w:r>
          <w:r>
            <w:rPr>
              <w:rFonts w:ascii="黑体" w:hAnsi="黑体" w:eastAsia="黑体"/>
              <w:bCs/>
              <w:szCs w:val="32"/>
            </w:rPr>
            <w:t xml:space="preserve">一、 </w:t>
          </w:r>
          <w:r>
            <w:rPr>
              <w:rFonts w:hint="eastAsia" w:ascii="黑体" w:hAnsi="黑体" w:eastAsia="黑体"/>
              <w:bCs/>
              <w:szCs w:val="32"/>
            </w:rPr>
            <w:t>现状与形势</w:t>
          </w:r>
          <w:r>
            <w:tab/>
          </w:r>
          <w:r>
            <w:fldChar w:fldCharType="begin"/>
          </w:r>
          <w:r>
            <w:instrText xml:space="preserve"> PAGEREF _Toc31849 </w:instrText>
          </w:r>
          <w:r>
            <w:fldChar w:fldCharType="separate"/>
          </w:r>
          <w:r>
            <w:t>1</w:t>
          </w:r>
          <w:r>
            <w:fldChar w:fldCharType="end"/>
          </w:r>
          <w:r>
            <w:rPr>
              <w:color w:val="000000"/>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rFonts w:eastAsia="仿宋_GB2312"/>
              <w:color w:val="000000"/>
              <w:szCs w:val="32"/>
            </w:rPr>
            <w:fldChar w:fldCharType="begin"/>
          </w:r>
          <w:r>
            <w:rPr>
              <w:rFonts w:eastAsia="仿宋_GB2312"/>
              <w:szCs w:val="32"/>
            </w:rPr>
            <w:instrText xml:space="preserve"> HYPERLINK \l _Toc32522 </w:instrText>
          </w:r>
          <w:r>
            <w:rPr>
              <w:rFonts w:eastAsia="仿宋_GB2312"/>
              <w:szCs w:val="32"/>
            </w:rPr>
            <w:fldChar w:fldCharType="separate"/>
          </w:r>
          <w:r>
            <w:rPr>
              <w:rFonts w:hint="eastAsia" w:ascii="楷体_GB2312" w:eastAsia="楷体_GB2312"/>
              <w:bCs/>
              <w:szCs w:val="32"/>
            </w:rPr>
            <w:t>（一） “十三五”的主要成效</w:t>
          </w:r>
          <w:r>
            <w:tab/>
          </w:r>
          <w:r>
            <w:fldChar w:fldCharType="begin"/>
          </w:r>
          <w:r>
            <w:instrText xml:space="preserve"> PAGEREF _Toc32522 </w:instrText>
          </w:r>
          <w:r>
            <w:fldChar w:fldCharType="separate"/>
          </w:r>
          <w:r>
            <w:t>1</w:t>
          </w:r>
          <w:r>
            <w:fldChar w:fldCharType="end"/>
          </w:r>
          <w:r>
            <w:rPr>
              <w:rFonts w:eastAsia="仿宋_GB2312"/>
              <w:color w:val="000000"/>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rFonts w:eastAsia="仿宋_GB2312"/>
              <w:color w:val="000000"/>
              <w:szCs w:val="32"/>
            </w:rPr>
            <w:fldChar w:fldCharType="begin"/>
          </w:r>
          <w:r>
            <w:rPr>
              <w:rFonts w:eastAsia="仿宋_GB2312"/>
              <w:szCs w:val="32"/>
            </w:rPr>
            <w:instrText xml:space="preserve"> HYPERLINK \l _Toc13045 </w:instrText>
          </w:r>
          <w:r>
            <w:rPr>
              <w:rFonts w:eastAsia="仿宋_GB2312"/>
              <w:szCs w:val="32"/>
            </w:rPr>
            <w:fldChar w:fldCharType="separate"/>
          </w:r>
          <w:r>
            <w:rPr>
              <w:rFonts w:hint="eastAsia" w:ascii="楷体_GB2312" w:eastAsia="楷体_GB2312"/>
              <w:bCs/>
              <w:szCs w:val="32"/>
            </w:rPr>
            <w:t>（二） “十四五”面临的形势</w:t>
          </w:r>
          <w:r>
            <w:tab/>
          </w:r>
          <w:r>
            <w:fldChar w:fldCharType="begin"/>
          </w:r>
          <w:r>
            <w:instrText xml:space="preserve"> PAGEREF _Toc13045 </w:instrText>
          </w:r>
          <w:r>
            <w:fldChar w:fldCharType="separate"/>
          </w:r>
          <w:r>
            <w:t>1</w:t>
          </w:r>
          <w:r>
            <w:fldChar w:fldCharType="end"/>
          </w:r>
          <w:r>
            <w:rPr>
              <w:rFonts w:eastAsia="仿宋_GB2312"/>
              <w:color w:val="000000"/>
              <w:szCs w:val="32"/>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rFonts w:eastAsia="仿宋_GB2312"/>
              <w:color w:val="000000"/>
              <w:szCs w:val="32"/>
            </w:rPr>
            <w:fldChar w:fldCharType="begin"/>
          </w:r>
          <w:r>
            <w:rPr>
              <w:rFonts w:eastAsia="仿宋_GB2312"/>
              <w:szCs w:val="32"/>
            </w:rPr>
            <w:instrText xml:space="preserve"> HYPERLINK \l _Toc5759 </w:instrText>
          </w:r>
          <w:r>
            <w:rPr>
              <w:rFonts w:eastAsia="仿宋_GB2312"/>
              <w:szCs w:val="32"/>
            </w:rPr>
            <w:fldChar w:fldCharType="separate"/>
          </w:r>
          <w:r>
            <w:rPr>
              <w:rFonts w:ascii="黑体" w:hAnsi="黑体" w:eastAsia="黑体"/>
              <w:bCs/>
              <w:szCs w:val="32"/>
            </w:rPr>
            <w:t xml:space="preserve">二、 </w:t>
          </w:r>
          <w:r>
            <w:rPr>
              <w:rFonts w:hint="eastAsia" w:ascii="黑体" w:hAnsi="黑体" w:eastAsia="黑体"/>
              <w:bCs/>
              <w:szCs w:val="32"/>
            </w:rPr>
            <w:t>总体要求</w:t>
          </w:r>
          <w:r>
            <w:tab/>
          </w:r>
          <w:r>
            <w:fldChar w:fldCharType="begin"/>
          </w:r>
          <w:r>
            <w:instrText xml:space="preserve"> PAGEREF _Toc5759 </w:instrText>
          </w:r>
          <w:r>
            <w:fldChar w:fldCharType="separate"/>
          </w:r>
          <w:r>
            <w:t>3</w:t>
          </w:r>
          <w:r>
            <w:fldChar w:fldCharType="end"/>
          </w:r>
          <w:r>
            <w:rPr>
              <w:rFonts w:eastAsia="仿宋_GB2312"/>
              <w:color w:val="000000"/>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rFonts w:eastAsia="仿宋_GB2312"/>
              <w:color w:val="000000"/>
              <w:szCs w:val="32"/>
            </w:rPr>
            <w:fldChar w:fldCharType="begin"/>
          </w:r>
          <w:r>
            <w:rPr>
              <w:rFonts w:eastAsia="仿宋_GB2312"/>
              <w:szCs w:val="32"/>
            </w:rPr>
            <w:instrText xml:space="preserve"> HYPERLINK \l _Toc5621 </w:instrText>
          </w:r>
          <w:r>
            <w:rPr>
              <w:rFonts w:eastAsia="仿宋_GB2312"/>
              <w:szCs w:val="32"/>
            </w:rPr>
            <w:fldChar w:fldCharType="separate"/>
          </w:r>
          <w:r>
            <w:rPr>
              <w:rFonts w:hint="eastAsia" w:ascii="楷体_GB2312" w:eastAsia="楷体_GB2312"/>
              <w:bCs/>
              <w:szCs w:val="32"/>
            </w:rPr>
            <w:t>（一） 指导思想</w:t>
          </w:r>
          <w:r>
            <w:tab/>
          </w:r>
          <w:r>
            <w:fldChar w:fldCharType="begin"/>
          </w:r>
          <w:r>
            <w:instrText xml:space="preserve"> PAGEREF _Toc5621 </w:instrText>
          </w:r>
          <w:r>
            <w:fldChar w:fldCharType="separate"/>
          </w:r>
          <w:r>
            <w:t>3</w:t>
          </w:r>
          <w:r>
            <w:fldChar w:fldCharType="end"/>
          </w:r>
          <w:r>
            <w:rPr>
              <w:rFonts w:eastAsia="仿宋_GB2312"/>
              <w:color w:val="000000"/>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rFonts w:eastAsia="仿宋_GB2312"/>
              <w:color w:val="000000"/>
              <w:szCs w:val="32"/>
            </w:rPr>
            <w:fldChar w:fldCharType="begin"/>
          </w:r>
          <w:r>
            <w:rPr>
              <w:rFonts w:eastAsia="仿宋_GB2312"/>
              <w:szCs w:val="32"/>
            </w:rPr>
            <w:instrText xml:space="preserve"> HYPERLINK \l _Toc24965 </w:instrText>
          </w:r>
          <w:r>
            <w:rPr>
              <w:rFonts w:eastAsia="仿宋_GB2312"/>
              <w:szCs w:val="32"/>
            </w:rPr>
            <w:fldChar w:fldCharType="separate"/>
          </w:r>
          <w:r>
            <w:rPr>
              <w:rFonts w:hint="eastAsia" w:ascii="楷体_GB2312" w:eastAsia="楷体_GB2312"/>
              <w:bCs/>
              <w:szCs w:val="32"/>
            </w:rPr>
            <w:t>（二） 基本原则</w:t>
          </w:r>
          <w:r>
            <w:tab/>
          </w:r>
          <w:r>
            <w:fldChar w:fldCharType="begin"/>
          </w:r>
          <w:r>
            <w:instrText xml:space="preserve"> PAGEREF _Toc24965 </w:instrText>
          </w:r>
          <w:r>
            <w:fldChar w:fldCharType="separate"/>
          </w:r>
          <w:r>
            <w:t>4</w:t>
          </w:r>
          <w:r>
            <w:fldChar w:fldCharType="end"/>
          </w:r>
          <w:r>
            <w:rPr>
              <w:rFonts w:eastAsia="仿宋_GB2312"/>
              <w:color w:val="000000"/>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rFonts w:eastAsia="仿宋_GB2312"/>
              <w:color w:val="000000"/>
              <w:szCs w:val="32"/>
            </w:rPr>
            <w:fldChar w:fldCharType="begin"/>
          </w:r>
          <w:r>
            <w:rPr>
              <w:rFonts w:eastAsia="仿宋_GB2312"/>
              <w:szCs w:val="32"/>
            </w:rPr>
            <w:instrText xml:space="preserve"> HYPERLINK \l _Toc2155 </w:instrText>
          </w:r>
          <w:r>
            <w:rPr>
              <w:rFonts w:eastAsia="仿宋_GB2312"/>
              <w:szCs w:val="32"/>
            </w:rPr>
            <w:fldChar w:fldCharType="separate"/>
          </w:r>
          <w:r>
            <w:rPr>
              <w:rFonts w:hint="eastAsia" w:ascii="楷体_GB2312" w:eastAsia="楷体_GB2312"/>
              <w:bCs/>
              <w:szCs w:val="32"/>
            </w:rPr>
            <w:t>（三） 发展目标</w:t>
          </w:r>
          <w:r>
            <w:tab/>
          </w:r>
          <w:r>
            <w:fldChar w:fldCharType="begin"/>
          </w:r>
          <w:r>
            <w:instrText xml:space="preserve"> PAGEREF _Toc2155 </w:instrText>
          </w:r>
          <w:r>
            <w:fldChar w:fldCharType="separate"/>
          </w:r>
          <w:r>
            <w:t>5</w:t>
          </w:r>
          <w:r>
            <w:fldChar w:fldCharType="end"/>
          </w:r>
          <w:r>
            <w:rPr>
              <w:rFonts w:eastAsia="仿宋_GB2312"/>
              <w:color w:val="000000"/>
              <w:szCs w:val="32"/>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rFonts w:eastAsia="仿宋_GB2312"/>
              <w:color w:val="000000"/>
              <w:szCs w:val="32"/>
            </w:rPr>
            <w:fldChar w:fldCharType="begin"/>
          </w:r>
          <w:r>
            <w:rPr>
              <w:rFonts w:eastAsia="仿宋_GB2312"/>
              <w:szCs w:val="32"/>
            </w:rPr>
            <w:instrText xml:space="preserve"> HYPERLINK \l _Toc165 </w:instrText>
          </w:r>
          <w:r>
            <w:rPr>
              <w:rFonts w:eastAsia="仿宋_GB2312"/>
              <w:szCs w:val="32"/>
            </w:rPr>
            <w:fldChar w:fldCharType="separate"/>
          </w:r>
          <w:r>
            <w:rPr>
              <w:rFonts w:hint="eastAsia" w:ascii="黑体" w:hAnsi="黑体" w:eastAsia="黑体" w:cs="黑体"/>
              <w:szCs w:val="32"/>
            </w:rPr>
            <w:t>三、重点任务</w:t>
          </w:r>
          <w:r>
            <w:tab/>
          </w:r>
          <w:r>
            <w:fldChar w:fldCharType="begin"/>
          </w:r>
          <w:r>
            <w:instrText xml:space="preserve"> PAGEREF _Toc165 </w:instrText>
          </w:r>
          <w:r>
            <w:fldChar w:fldCharType="separate"/>
          </w:r>
          <w:r>
            <w:t>7</w:t>
          </w:r>
          <w:r>
            <w:fldChar w:fldCharType="end"/>
          </w:r>
          <w:r>
            <w:rPr>
              <w:rFonts w:eastAsia="仿宋_GB2312"/>
              <w:color w:val="000000"/>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rFonts w:eastAsia="仿宋_GB2312"/>
              <w:color w:val="000000"/>
              <w:szCs w:val="32"/>
            </w:rPr>
            <w:fldChar w:fldCharType="begin"/>
          </w:r>
          <w:r>
            <w:rPr>
              <w:rFonts w:eastAsia="仿宋_GB2312"/>
              <w:szCs w:val="32"/>
            </w:rPr>
            <w:instrText xml:space="preserve"> HYPERLINK \l _Toc29731 </w:instrText>
          </w:r>
          <w:r>
            <w:rPr>
              <w:rFonts w:eastAsia="仿宋_GB2312"/>
              <w:szCs w:val="32"/>
            </w:rPr>
            <w:fldChar w:fldCharType="separate"/>
          </w:r>
          <w:r>
            <w:rPr>
              <w:rFonts w:hint="eastAsia" w:ascii="楷体_GB2312" w:eastAsia="楷体_GB2312"/>
              <w:bCs/>
              <w:szCs w:val="32"/>
            </w:rPr>
            <w:t>（一） 全面推动科技创新产业</w:t>
          </w:r>
          <w:r>
            <w:tab/>
          </w:r>
          <w:r>
            <w:fldChar w:fldCharType="begin"/>
          </w:r>
          <w:r>
            <w:instrText xml:space="preserve"> PAGEREF _Toc29731 </w:instrText>
          </w:r>
          <w:r>
            <w:fldChar w:fldCharType="separate"/>
          </w:r>
          <w:r>
            <w:t>7</w:t>
          </w:r>
          <w:r>
            <w:fldChar w:fldCharType="end"/>
          </w:r>
          <w:r>
            <w:rPr>
              <w:rFonts w:eastAsia="仿宋_GB2312"/>
              <w:color w:val="000000"/>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rFonts w:eastAsia="仿宋_GB2312"/>
              <w:color w:val="000000"/>
              <w:szCs w:val="32"/>
            </w:rPr>
            <w:fldChar w:fldCharType="begin"/>
          </w:r>
          <w:r>
            <w:rPr>
              <w:rFonts w:eastAsia="仿宋_GB2312"/>
              <w:szCs w:val="32"/>
            </w:rPr>
            <w:instrText xml:space="preserve"> HYPERLINK \l _Toc23638 </w:instrText>
          </w:r>
          <w:r>
            <w:rPr>
              <w:rFonts w:eastAsia="仿宋_GB2312"/>
              <w:szCs w:val="32"/>
            </w:rPr>
            <w:fldChar w:fldCharType="separate"/>
          </w:r>
          <w:r>
            <w:rPr>
              <w:rFonts w:hint="eastAsia" w:ascii="楷体_GB2312" w:hAnsi="Times New Roman" w:eastAsia="楷体_GB2312" w:cs="Times New Roman"/>
              <w:bCs/>
              <w:szCs w:val="32"/>
            </w:rPr>
            <w:t>（二） 大力激发农村科技活力</w:t>
          </w:r>
          <w:r>
            <w:tab/>
          </w:r>
          <w:r>
            <w:fldChar w:fldCharType="begin"/>
          </w:r>
          <w:r>
            <w:instrText xml:space="preserve"> PAGEREF _Toc23638 </w:instrText>
          </w:r>
          <w:r>
            <w:fldChar w:fldCharType="separate"/>
          </w:r>
          <w:r>
            <w:t>8</w:t>
          </w:r>
          <w:r>
            <w:fldChar w:fldCharType="end"/>
          </w:r>
          <w:r>
            <w:rPr>
              <w:rFonts w:eastAsia="仿宋_GB2312"/>
              <w:color w:val="000000"/>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rFonts w:eastAsia="仿宋_GB2312"/>
              <w:color w:val="000000"/>
              <w:szCs w:val="32"/>
            </w:rPr>
            <w:fldChar w:fldCharType="begin"/>
          </w:r>
          <w:r>
            <w:rPr>
              <w:rFonts w:eastAsia="仿宋_GB2312"/>
              <w:szCs w:val="32"/>
            </w:rPr>
            <w:instrText xml:space="preserve"> HYPERLINK \l _Toc5673 </w:instrText>
          </w:r>
          <w:r>
            <w:rPr>
              <w:rFonts w:eastAsia="仿宋_GB2312"/>
              <w:szCs w:val="32"/>
            </w:rPr>
            <w:fldChar w:fldCharType="separate"/>
          </w:r>
          <w:r>
            <w:rPr>
              <w:rFonts w:hint="eastAsia" w:ascii="楷体_GB2312" w:hAnsi="Times New Roman" w:eastAsia="楷体_GB2312" w:cs="Times New Roman"/>
              <w:bCs/>
              <w:szCs w:val="32"/>
            </w:rPr>
            <w:t>（三） 着力筑强创新创业平台</w:t>
          </w:r>
          <w:r>
            <w:tab/>
          </w:r>
          <w:r>
            <w:fldChar w:fldCharType="begin"/>
          </w:r>
          <w:r>
            <w:instrText xml:space="preserve"> PAGEREF _Toc5673 </w:instrText>
          </w:r>
          <w:r>
            <w:fldChar w:fldCharType="separate"/>
          </w:r>
          <w:r>
            <w:t>9</w:t>
          </w:r>
          <w:r>
            <w:fldChar w:fldCharType="end"/>
          </w:r>
          <w:r>
            <w:rPr>
              <w:rFonts w:eastAsia="仿宋_GB2312"/>
              <w:color w:val="000000"/>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rFonts w:eastAsia="仿宋_GB2312"/>
              <w:color w:val="000000"/>
              <w:szCs w:val="32"/>
            </w:rPr>
            <w:fldChar w:fldCharType="begin"/>
          </w:r>
          <w:r>
            <w:rPr>
              <w:rFonts w:eastAsia="仿宋_GB2312"/>
              <w:szCs w:val="32"/>
            </w:rPr>
            <w:instrText xml:space="preserve"> HYPERLINK \l _Toc8730 </w:instrText>
          </w:r>
          <w:r>
            <w:rPr>
              <w:rFonts w:eastAsia="仿宋_GB2312"/>
              <w:szCs w:val="32"/>
            </w:rPr>
            <w:fldChar w:fldCharType="separate"/>
          </w:r>
          <w:r>
            <w:rPr>
              <w:rFonts w:hint="eastAsia" w:ascii="楷体_GB2312" w:hAnsi="Times New Roman" w:eastAsia="楷体_GB2312" w:cs="Times New Roman"/>
              <w:bCs/>
              <w:szCs w:val="32"/>
            </w:rPr>
            <w:t>（四） 加速支持创新人才培养</w:t>
          </w:r>
          <w:r>
            <w:tab/>
          </w:r>
          <w:r>
            <w:fldChar w:fldCharType="begin"/>
          </w:r>
          <w:r>
            <w:instrText xml:space="preserve"> PAGEREF _Toc8730 </w:instrText>
          </w:r>
          <w:r>
            <w:fldChar w:fldCharType="separate"/>
          </w:r>
          <w:r>
            <w:t>10</w:t>
          </w:r>
          <w:r>
            <w:fldChar w:fldCharType="end"/>
          </w:r>
          <w:r>
            <w:rPr>
              <w:rFonts w:eastAsia="仿宋_GB2312"/>
              <w:color w:val="000000"/>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rFonts w:eastAsia="仿宋_GB2312"/>
              <w:color w:val="000000"/>
              <w:szCs w:val="32"/>
            </w:rPr>
            <w:fldChar w:fldCharType="begin"/>
          </w:r>
          <w:r>
            <w:rPr>
              <w:rFonts w:eastAsia="仿宋_GB2312"/>
              <w:szCs w:val="32"/>
            </w:rPr>
            <w:instrText xml:space="preserve"> HYPERLINK \l _Toc24569 </w:instrText>
          </w:r>
          <w:r>
            <w:rPr>
              <w:rFonts w:eastAsia="仿宋_GB2312"/>
              <w:szCs w:val="32"/>
            </w:rPr>
            <w:fldChar w:fldCharType="separate"/>
          </w:r>
          <w:r>
            <w:rPr>
              <w:rFonts w:hint="eastAsia" w:ascii="楷体_GB2312" w:hAnsi="Times New Roman" w:eastAsia="楷体_GB2312" w:cs="Times New Roman"/>
              <w:bCs/>
              <w:szCs w:val="32"/>
            </w:rPr>
            <w:t>（五） 深入实施知识产权战略</w:t>
          </w:r>
          <w:r>
            <w:tab/>
          </w:r>
          <w:r>
            <w:fldChar w:fldCharType="begin"/>
          </w:r>
          <w:r>
            <w:instrText xml:space="preserve"> PAGEREF _Toc24569 </w:instrText>
          </w:r>
          <w:r>
            <w:fldChar w:fldCharType="separate"/>
          </w:r>
          <w:r>
            <w:t>10</w:t>
          </w:r>
          <w:r>
            <w:fldChar w:fldCharType="end"/>
          </w:r>
          <w:r>
            <w:rPr>
              <w:rFonts w:eastAsia="仿宋_GB2312"/>
              <w:color w:val="000000"/>
              <w:szCs w:val="32"/>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rFonts w:eastAsia="仿宋_GB2312"/>
              <w:color w:val="000000"/>
              <w:szCs w:val="32"/>
            </w:rPr>
            <w:fldChar w:fldCharType="begin"/>
          </w:r>
          <w:r>
            <w:rPr>
              <w:rFonts w:eastAsia="仿宋_GB2312"/>
              <w:szCs w:val="32"/>
            </w:rPr>
            <w:instrText xml:space="preserve"> HYPERLINK \l _Toc6012 </w:instrText>
          </w:r>
          <w:r>
            <w:rPr>
              <w:rFonts w:eastAsia="仿宋_GB2312"/>
              <w:szCs w:val="32"/>
            </w:rPr>
            <w:fldChar w:fldCharType="separate"/>
          </w:r>
          <w:r>
            <w:rPr>
              <w:rFonts w:hint="eastAsia" w:ascii="黑体" w:hAnsi="黑体" w:eastAsia="黑体"/>
              <w:szCs w:val="32"/>
            </w:rPr>
            <w:t>四</w:t>
          </w:r>
          <w:r>
            <w:rPr>
              <w:rFonts w:ascii="黑体" w:hAnsi="黑体" w:eastAsia="黑体"/>
              <w:szCs w:val="32"/>
            </w:rPr>
            <w:t>、保障措施</w:t>
          </w:r>
          <w:r>
            <w:tab/>
          </w:r>
          <w:r>
            <w:fldChar w:fldCharType="begin"/>
          </w:r>
          <w:r>
            <w:instrText xml:space="preserve"> PAGEREF _Toc6012 </w:instrText>
          </w:r>
          <w:r>
            <w:fldChar w:fldCharType="separate"/>
          </w:r>
          <w:r>
            <w:t>11</w:t>
          </w:r>
          <w:r>
            <w:fldChar w:fldCharType="end"/>
          </w:r>
          <w:r>
            <w:rPr>
              <w:rFonts w:eastAsia="仿宋_GB2312"/>
              <w:color w:val="000000"/>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rFonts w:eastAsia="仿宋_GB2312"/>
              <w:color w:val="000000"/>
              <w:szCs w:val="32"/>
            </w:rPr>
            <w:fldChar w:fldCharType="begin"/>
          </w:r>
          <w:r>
            <w:rPr>
              <w:rFonts w:eastAsia="仿宋_GB2312"/>
              <w:szCs w:val="32"/>
            </w:rPr>
            <w:instrText xml:space="preserve"> HYPERLINK \l _Toc6913 </w:instrText>
          </w:r>
          <w:r>
            <w:rPr>
              <w:rFonts w:eastAsia="仿宋_GB2312"/>
              <w:szCs w:val="32"/>
            </w:rPr>
            <w:fldChar w:fldCharType="separate"/>
          </w:r>
          <w:r>
            <w:rPr>
              <w:rFonts w:hint="eastAsia" w:ascii="楷体_GB2312" w:eastAsia="楷体_GB2312"/>
              <w:bCs/>
              <w:szCs w:val="32"/>
            </w:rPr>
            <w:t>（一） 加强科技政策宣传</w:t>
          </w:r>
          <w:r>
            <w:tab/>
          </w:r>
          <w:r>
            <w:fldChar w:fldCharType="begin"/>
          </w:r>
          <w:r>
            <w:instrText xml:space="preserve"> PAGEREF _Toc6913 </w:instrText>
          </w:r>
          <w:r>
            <w:fldChar w:fldCharType="separate"/>
          </w:r>
          <w:r>
            <w:t>12</w:t>
          </w:r>
          <w:r>
            <w:fldChar w:fldCharType="end"/>
          </w:r>
          <w:r>
            <w:rPr>
              <w:rFonts w:eastAsia="仿宋_GB2312"/>
              <w:color w:val="000000"/>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rFonts w:eastAsia="仿宋_GB2312"/>
              <w:color w:val="000000"/>
              <w:szCs w:val="32"/>
            </w:rPr>
            <w:fldChar w:fldCharType="begin"/>
          </w:r>
          <w:r>
            <w:rPr>
              <w:rFonts w:eastAsia="仿宋_GB2312"/>
              <w:szCs w:val="32"/>
            </w:rPr>
            <w:instrText xml:space="preserve"> HYPERLINK \l _Toc23031 </w:instrText>
          </w:r>
          <w:r>
            <w:rPr>
              <w:rFonts w:eastAsia="仿宋_GB2312"/>
              <w:szCs w:val="32"/>
            </w:rPr>
            <w:fldChar w:fldCharType="separate"/>
          </w:r>
          <w:r>
            <w:rPr>
              <w:rFonts w:hint="eastAsia" w:ascii="楷体_GB2312" w:eastAsia="楷体_GB2312"/>
              <w:bCs/>
              <w:szCs w:val="32"/>
            </w:rPr>
            <w:t>（二） 完善协同创新体系</w:t>
          </w:r>
          <w:r>
            <w:tab/>
          </w:r>
          <w:r>
            <w:fldChar w:fldCharType="begin"/>
          </w:r>
          <w:r>
            <w:instrText xml:space="preserve"> PAGEREF _Toc23031 </w:instrText>
          </w:r>
          <w:r>
            <w:fldChar w:fldCharType="separate"/>
          </w:r>
          <w:r>
            <w:t>12</w:t>
          </w:r>
          <w:r>
            <w:fldChar w:fldCharType="end"/>
          </w:r>
          <w:r>
            <w:rPr>
              <w:rFonts w:eastAsia="仿宋_GB2312"/>
              <w:color w:val="000000"/>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rFonts w:eastAsia="仿宋_GB2312"/>
              <w:color w:val="000000"/>
              <w:szCs w:val="32"/>
            </w:rPr>
            <w:fldChar w:fldCharType="begin"/>
          </w:r>
          <w:r>
            <w:rPr>
              <w:rFonts w:eastAsia="仿宋_GB2312"/>
              <w:szCs w:val="32"/>
            </w:rPr>
            <w:instrText xml:space="preserve"> HYPERLINK \l _Toc10613 </w:instrText>
          </w:r>
          <w:r>
            <w:rPr>
              <w:rFonts w:eastAsia="仿宋_GB2312"/>
              <w:szCs w:val="32"/>
            </w:rPr>
            <w:fldChar w:fldCharType="separate"/>
          </w:r>
          <w:r>
            <w:rPr>
              <w:rFonts w:hint="eastAsia" w:ascii="楷体_GB2312" w:eastAsia="楷体_GB2312"/>
              <w:bCs/>
              <w:szCs w:val="32"/>
            </w:rPr>
            <w:t>（三） 增强科技创新能力</w:t>
          </w:r>
          <w:r>
            <w:tab/>
          </w:r>
          <w:r>
            <w:fldChar w:fldCharType="begin"/>
          </w:r>
          <w:r>
            <w:instrText xml:space="preserve"> PAGEREF _Toc10613 </w:instrText>
          </w:r>
          <w:r>
            <w:fldChar w:fldCharType="separate"/>
          </w:r>
          <w:r>
            <w:t>13</w:t>
          </w:r>
          <w:r>
            <w:fldChar w:fldCharType="end"/>
          </w:r>
          <w:r>
            <w:rPr>
              <w:rFonts w:eastAsia="仿宋_GB2312"/>
              <w:color w:val="000000"/>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rFonts w:eastAsia="仿宋_GB2312"/>
              <w:color w:val="000000"/>
              <w:szCs w:val="32"/>
            </w:rPr>
            <w:fldChar w:fldCharType="begin"/>
          </w:r>
          <w:r>
            <w:rPr>
              <w:rFonts w:eastAsia="仿宋_GB2312"/>
              <w:szCs w:val="32"/>
            </w:rPr>
            <w:instrText xml:space="preserve"> HYPERLINK \l _Toc6923 </w:instrText>
          </w:r>
          <w:r>
            <w:rPr>
              <w:rFonts w:eastAsia="仿宋_GB2312"/>
              <w:szCs w:val="32"/>
            </w:rPr>
            <w:fldChar w:fldCharType="separate"/>
          </w:r>
          <w:r>
            <w:rPr>
              <w:rFonts w:hint="eastAsia" w:ascii="楷体_GB2312" w:eastAsia="楷体_GB2312"/>
              <w:bCs/>
              <w:szCs w:val="32"/>
            </w:rPr>
            <w:t>（四） 强化科技人才保障</w:t>
          </w:r>
          <w:r>
            <w:tab/>
          </w:r>
          <w:r>
            <w:fldChar w:fldCharType="begin"/>
          </w:r>
          <w:r>
            <w:instrText xml:space="preserve"> PAGEREF _Toc6923 </w:instrText>
          </w:r>
          <w:r>
            <w:fldChar w:fldCharType="separate"/>
          </w:r>
          <w:r>
            <w:t>13</w:t>
          </w:r>
          <w:r>
            <w:fldChar w:fldCharType="end"/>
          </w:r>
          <w:r>
            <w:rPr>
              <w:rFonts w:eastAsia="仿宋_GB2312"/>
              <w:color w:val="000000"/>
              <w:szCs w:val="32"/>
            </w:rPr>
            <w:fldChar w:fldCharType="end"/>
          </w:r>
        </w:p>
        <w:p>
          <w:pPr>
            <w:pStyle w:val="16"/>
            <w:keepNext w:val="0"/>
            <w:keepLines w:val="0"/>
            <w:pageBreakBefore w:val="0"/>
            <w:widowControl w:val="0"/>
            <w:kinsoku/>
            <w:wordWrap/>
            <w:overflowPunct/>
            <w:topLinePunct w:val="0"/>
            <w:autoSpaceDE/>
            <w:autoSpaceDN/>
            <w:bidi w:val="0"/>
            <w:adjustRightInd w:val="0"/>
            <w:snapToGrid w:val="0"/>
            <w:spacing w:line="324" w:lineRule="auto"/>
            <w:ind w:firstLine="0" w:firstLineChars="0"/>
            <w:textAlignment w:val="auto"/>
            <w:rPr>
              <w:rFonts w:eastAsia="仿宋_GB2312"/>
              <w:color w:val="000000"/>
              <w:sz w:val="32"/>
              <w:szCs w:val="32"/>
            </w:rPr>
            <w:sectPr>
              <w:pgSz w:w="11906" w:h="16838"/>
              <w:pgMar w:top="2041" w:right="1474" w:bottom="1134" w:left="1587" w:header="851" w:footer="1474" w:gutter="0"/>
              <w:cols w:space="720" w:num="1"/>
              <w:docGrid w:type="linesAndChars" w:linePitch="632" w:charSpace="-1065"/>
            </w:sectPr>
          </w:pPr>
          <w:r>
            <w:rPr>
              <w:rFonts w:eastAsia="仿宋_GB2312"/>
              <w:color w:val="000000"/>
              <w:szCs w:val="32"/>
            </w:rPr>
            <w:fldChar w:fldCharType="end"/>
          </w:r>
        </w:p>
      </w:sdtContent>
    </w:sdt>
    <w:p>
      <w:pPr>
        <w:numPr>
          <w:ilvl w:val="0"/>
          <w:numId w:val="1"/>
        </w:numPr>
        <w:adjustRightInd w:val="0"/>
        <w:spacing w:line="324" w:lineRule="auto"/>
        <w:ind w:firstLine="630" w:firstLineChars="200"/>
        <w:outlineLvl w:val="0"/>
        <w:rPr>
          <w:rFonts w:ascii="黑体" w:hAnsi="黑体" w:eastAsia="黑体"/>
          <w:bCs/>
          <w:color w:val="000000"/>
          <w:szCs w:val="32"/>
        </w:rPr>
      </w:pPr>
      <w:bookmarkStart w:id="0" w:name="_Toc465859969"/>
      <w:bookmarkStart w:id="1" w:name="_Toc31849"/>
      <w:bookmarkStart w:id="2" w:name="_Toc29753"/>
      <w:bookmarkStart w:id="3" w:name="_Toc10533"/>
      <w:r>
        <w:rPr>
          <w:rFonts w:hint="eastAsia" w:ascii="黑体" w:hAnsi="黑体" w:eastAsia="黑体"/>
          <w:bCs/>
          <w:color w:val="000000"/>
          <w:szCs w:val="32"/>
        </w:rPr>
        <w:t>现状与形势</w:t>
      </w:r>
      <w:bookmarkEnd w:id="0"/>
      <w:bookmarkEnd w:id="1"/>
    </w:p>
    <w:p>
      <w:pPr>
        <w:numPr>
          <w:ilvl w:val="0"/>
          <w:numId w:val="2"/>
        </w:numPr>
        <w:adjustRightInd w:val="0"/>
        <w:spacing w:line="324" w:lineRule="auto"/>
        <w:outlineLvl w:val="1"/>
        <w:rPr>
          <w:rFonts w:ascii="楷体_GB2312" w:eastAsia="楷体_GB2312"/>
          <w:b/>
          <w:bCs/>
          <w:color w:val="000000"/>
          <w:szCs w:val="32"/>
        </w:rPr>
      </w:pPr>
      <w:bookmarkStart w:id="4" w:name="_Toc465859970"/>
      <w:bookmarkStart w:id="5" w:name="_Toc32522"/>
      <w:r>
        <w:rPr>
          <w:rFonts w:hint="eastAsia" w:ascii="楷体_GB2312" w:eastAsia="楷体_GB2312"/>
          <w:b/>
          <w:bCs/>
          <w:color w:val="000000"/>
          <w:szCs w:val="32"/>
        </w:rPr>
        <w:t>“十三五”的主要成效</w:t>
      </w:r>
      <w:bookmarkEnd w:id="4"/>
      <w:bookmarkEnd w:id="5"/>
    </w:p>
    <w:p>
      <w:pPr>
        <w:bidi w:val="0"/>
        <w:rPr>
          <w:rFonts w:hint="eastAsia"/>
          <w:lang w:eastAsia="zh-CN"/>
        </w:rPr>
      </w:pPr>
      <w:r>
        <w:rPr>
          <w:rFonts w:hint="eastAsia"/>
          <w:b/>
          <w:bCs/>
        </w:rPr>
        <w:t>创新投入不断增加。</w:t>
      </w:r>
      <w:r>
        <w:rPr>
          <w:rFonts w:hint="eastAsia"/>
        </w:rPr>
        <w:t>2019年，</w:t>
      </w:r>
      <w:r>
        <w:rPr>
          <w:rFonts w:hint="eastAsia"/>
          <w:lang w:val="en-US" w:eastAsia="zh-CN"/>
        </w:rPr>
        <w:t>预计</w:t>
      </w:r>
      <w:r>
        <w:rPr>
          <w:rFonts w:hint="eastAsia"/>
        </w:rPr>
        <w:t>研发(</w:t>
      </w:r>
      <w:r>
        <w:t>R&amp;D)</w:t>
      </w:r>
      <w:r>
        <w:rPr>
          <w:rFonts w:hint="eastAsia"/>
        </w:rPr>
        <w:t>经费投入</w:t>
      </w:r>
      <w:r>
        <w:rPr>
          <w:rFonts w:hint="eastAsia"/>
          <w:lang w:val="en-US" w:eastAsia="zh-CN"/>
        </w:rPr>
        <w:t>7500</w:t>
      </w:r>
      <w:r>
        <w:rPr>
          <w:rFonts w:hint="eastAsia"/>
        </w:rPr>
        <w:t>万元，</w:t>
      </w:r>
      <w:r>
        <w:rPr>
          <w:rFonts w:hint="eastAsia"/>
          <w:lang w:val="en-US" w:eastAsia="zh-CN"/>
        </w:rPr>
        <w:t>2015年研发投入3900万元，</w:t>
      </w:r>
      <w:r>
        <w:rPr>
          <w:rFonts w:hint="eastAsia"/>
        </w:rPr>
        <w:t>年均增幅</w:t>
      </w:r>
      <w:r>
        <w:rPr>
          <w:rFonts w:hint="eastAsia"/>
          <w:lang w:val="en-US" w:eastAsia="zh-CN"/>
        </w:rPr>
        <w:t>18%</w:t>
      </w:r>
      <w:r>
        <w:rPr>
          <w:rFonts w:hint="eastAsia"/>
        </w:rPr>
        <w:t>；</w:t>
      </w:r>
      <w:r>
        <w:rPr>
          <w:rFonts w:hint="eastAsia"/>
          <w:lang w:val="en-US" w:eastAsia="zh-CN"/>
        </w:rPr>
        <w:t>2019年</w:t>
      </w:r>
      <w:r>
        <w:rPr>
          <w:rFonts w:hint="eastAsia"/>
          <w:lang w:eastAsia="zh-CN"/>
        </w:rPr>
        <w:t>研发</w:t>
      </w:r>
      <w:r>
        <w:rPr>
          <w:rFonts w:hint="eastAsia"/>
        </w:rPr>
        <w:t>人员数</w:t>
      </w:r>
      <w:r>
        <w:rPr>
          <w:rFonts w:hint="eastAsia"/>
          <w:lang w:val="en-US" w:eastAsia="zh-CN"/>
        </w:rPr>
        <w:t>170人</w:t>
      </w:r>
      <w:r>
        <w:rPr>
          <w:rFonts w:hint="eastAsia"/>
        </w:rPr>
        <w:t>，</w:t>
      </w:r>
      <w:r>
        <w:rPr>
          <w:rFonts w:hint="eastAsia"/>
          <w:lang w:val="en-US" w:eastAsia="zh-CN"/>
        </w:rPr>
        <w:t>2015年研发人员数121人，年均</w:t>
      </w:r>
      <w:r>
        <w:rPr>
          <w:rFonts w:hint="eastAsia"/>
        </w:rPr>
        <w:t>增幅</w:t>
      </w:r>
      <w:r>
        <w:rPr>
          <w:rFonts w:hint="eastAsia"/>
          <w:lang w:val="en-US" w:eastAsia="zh-CN"/>
        </w:rPr>
        <w:t>8.9%</w:t>
      </w:r>
      <w:r>
        <w:rPr>
          <w:rFonts w:hint="eastAsia"/>
          <w:lang w:eastAsia="zh-CN"/>
        </w:rPr>
        <w:t>。</w:t>
      </w:r>
    </w:p>
    <w:p>
      <w:pPr>
        <w:bidi w:val="0"/>
      </w:pPr>
      <w:r>
        <w:rPr>
          <w:rFonts w:hint="eastAsia"/>
          <w:b/>
          <w:bCs/>
        </w:rPr>
        <w:t>创新产出</w:t>
      </w:r>
      <w:r>
        <w:rPr>
          <w:rFonts w:hint="eastAsia"/>
          <w:b/>
          <w:bCs/>
          <w:lang w:eastAsia="zh-CN"/>
        </w:rPr>
        <w:t>逐步</w:t>
      </w:r>
      <w:r>
        <w:rPr>
          <w:rFonts w:hint="eastAsia"/>
          <w:b/>
          <w:bCs/>
        </w:rPr>
        <w:t>提升。</w:t>
      </w:r>
      <w:r>
        <w:rPr>
          <w:rFonts w:hint="eastAsia"/>
        </w:rPr>
        <w:t>2019年，全县</w:t>
      </w:r>
      <w:r>
        <w:rPr>
          <w:rFonts w:hint="eastAsia"/>
          <w:lang w:val="en-US" w:eastAsia="zh-CN"/>
        </w:rPr>
        <w:t>高新技术产业总</w:t>
      </w:r>
      <w:r>
        <w:rPr>
          <w:rFonts w:hint="eastAsia"/>
        </w:rPr>
        <w:t>产值</w:t>
      </w:r>
      <w:r>
        <w:rPr>
          <w:rFonts w:hint="eastAsia"/>
          <w:lang w:val="en-US" w:eastAsia="zh-CN"/>
        </w:rPr>
        <w:t>11.6</w:t>
      </w:r>
      <w:r>
        <w:rPr>
          <w:rFonts w:hint="eastAsia"/>
        </w:rPr>
        <w:t>亿元,</w:t>
      </w:r>
      <w:r>
        <w:rPr>
          <w:rFonts w:hint="eastAsia"/>
          <w:lang w:eastAsia="zh-CN"/>
        </w:rPr>
        <w:t>占规上工业总产值</w:t>
      </w:r>
      <w:r>
        <w:rPr>
          <w:rFonts w:hint="eastAsia"/>
          <w:lang w:val="en-US" w:eastAsia="zh-CN"/>
        </w:rPr>
        <w:t>26%，比上年提高0.1个百分点</w:t>
      </w:r>
      <w:r>
        <w:rPr>
          <w:rFonts w:hint="eastAsia"/>
        </w:rPr>
        <w:t>；高新技术产业增加值</w:t>
      </w:r>
      <w:r>
        <w:rPr>
          <w:rFonts w:hint="eastAsia"/>
          <w:lang w:val="en-US" w:eastAsia="zh-CN"/>
        </w:rPr>
        <w:t>2.8</w:t>
      </w:r>
      <w:r>
        <w:rPr>
          <w:rFonts w:hint="eastAsia"/>
        </w:rPr>
        <w:t>亿元，占规上工业增加值的</w:t>
      </w:r>
      <w:r>
        <w:rPr>
          <w:rFonts w:hint="eastAsia"/>
          <w:lang w:val="en-US" w:eastAsia="zh-CN"/>
        </w:rPr>
        <w:t>23</w:t>
      </w:r>
      <w:r>
        <w:rPr>
          <w:rFonts w:hint="eastAsia"/>
        </w:rPr>
        <w:t>%，</w:t>
      </w:r>
      <w:r>
        <w:rPr>
          <w:rFonts w:hint="eastAsia"/>
          <w:lang w:eastAsia="zh-CN"/>
        </w:rPr>
        <w:t>比上年提高</w:t>
      </w:r>
      <w:r>
        <w:rPr>
          <w:rFonts w:hint="eastAsia"/>
          <w:lang w:val="en-US" w:eastAsia="zh-CN"/>
        </w:rPr>
        <w:t>0.35个百分点</w:t>
      </w:r>
      <w:r>
        <w:rPr>
          <w:rFonts w:hint="eastAsia"/>
        </w:rPr>
        <w:t>。</w:t>
      </w:r>
    </w:p>
    <w:p>
      <w:pPr>
        <w:bidi w:val="0"/>
      </w:pPr>
      <w:r>
        <w:rPr>
          <w:rFonts w:hint="eastAsia"/>
          <w:b/>
          <w:bCs/>
        </w:rPr>
        <w:t>企业创新</w:t>
      </w:r>
      <w:r>
        <w:rPr>
          <w:rFonts w:hint="eastAsia"/>
          <w:b/>
          <w:bCs/>
          <w:lang w:val="en-US" w:eastAsia="zh-CN"/>
        </w:rPr>
        <w:t>持续加强</w:t>
      </w:r>
      <w:r>
        <w:rPr>
          <w:rFonts w:hint="eastAsia"/>
          <w:b/>
          <w:bCs/>
        </w:rPr>
        <w:t>。</w:t>
      </w:r>
      <w:r>
        <w:rPr>
          <w:rFonts w:hint="eastAsia"/>
        </w:rPr>
        <w:t>截至2019年末，全县累计培育高新技术企业8家</w:t>
      </w:r>
      <w:r>
        <w:rPr>
          <w:rFonts w:hint="eastAsia"/>
          <w:lang w:eastAsia="zh-CN"/>
        </w:rPr>
        <w:t>；</w:t>
      </w:r>
      <w:r>
        <w:rPr>
          <w:rFonts w:hint="eastAsia"/>
        </w:rPr>
        <w:t>建立工程技术研发中心11家，其中市级</w:t>
      </w:r>
      <w:r>
        <w:rPr>
          <w:rFonts w:hint="eastAsia"/>
          <w:lang w:val="en-US" w:eastAsia="zh-CN"/>
        </w:rPr>
        <w:t>8</w:t>
      </w:r>
      <w:r>
        <w:rPr>
          <w:rFonts w:hint="eastAsia"/>
        </w:rPr>
        <w:t>家，省级</w:t>
      </w:r>
      <w:r>
        <w:rPr>
          <w:rFonts w:hint="eastAsia"/>
          <w:lang w:val="en-US" w:eastAsia="zh-CN"/>
        </w:rPr>
        <w:t>3</w:t>
      </w:r>
      <w:r>
        <w:rPr>
          <w:rFonts w:hint="eastAsia"/>
        </w:rPr>
        <w:t>家。</w:t>
      </w:r>
    </w:p>
    <w:p>
      <w:pPr>
        <w:bidi w:val="0"/>
      </w:pPr>
      <w:r>
        <w:rPr>
          <w:rFonts w:hint="eastAsia"/>
          <w:b/>
          <w:bCs/>
        </w:rPr>
        <w:t>科技成果再创新高。</w:t>
      </w:r>
      <w:r>
        <w:rPr>
          <w:rFonts w:hint="eastAsia"/>
        </w:rPr>
        <w:t>“十三五”期间，共鉴定科技成果</w:t>
      </w:r>
      <w:r>
        <w:rPr>
          <w:rFonts w:hint="eastAsia"/>
          <w:lang w:val="en-US" w:eastAsia="zh-CN"/>
        </w:rPr>
        <w:t>7</w:t>
      </w:r>
      <w:r>
        <w:rPr>
          <w:rFonts w:hint="eastAsia"/>
        </w:rPr>
        <w:t>项，其中，市级</w:t>
      </w:r>
      <w:r>
        <w:rPr>
          <w:rFonts w:hint="eastAsia"/>
          <w:lang w:val="en-US" w:eastAsia="zh-CN"/>
        </w:rPr>
        <w:t>7</w:t>
      </w:r>
      <w:r>
        <w:rPr>
          <w:rFonts w:hint="eastAsia"/>
        </w:rPr>
        <w:t>项；共申请专利</w:t>
      </w:r>
      <w:r>
        <w:rPr>
          <w:rFonts w:hint="eastAsia"/>
          <w:lang w:val="en-US" w:eastAsia="zh-CN"/>
        </w:rPr>
        <w:t>1011</w:t>
      </w:r>
      <w:r>
        <w:rPr>
          <w:rFonts w:hint="eastAsia"/>
        </w:rPr>
        <w:t>件，其中，发明专利</w:t>
      </w:r>
      <w:r>
        <w:rPr>
          <w:rFonts w:hint="eastAsia"/>
          <w:lang w:val="en-US" w:eastAsia="zh-CN"/>
        </w:rPr>
        <w:t>154</w:t>
      </w:r>
      <w:r>
        <w:rPr>
          <w:rFonts w:hint="eastAsia"/>
        </w:rPr>
        <w:t>件</w:t>
      </w:r>
      <w:r>
        <w:rPr>
          <w:rFonts w:hint="eastAsia"/>
          <w:lang w:eastAsia="zh-CN"/>
        </w:rPr>
        <w:t>，</w:t>
      </w:r>
      <w:r>
        <w:rPr>
          <w:rFonts w:hint="eastAsia"/>
          <w:lang w:val="en-US" w:eastAsia="zh-CN"/>
        </w:rPr>
        <w:t>占比15.23%</w:t>
      </w:r>
      <w:r>
        <w:rPr>
          <w:rFonts w:hint="eastAsia"/>
        </w:rPr>
        <w:t>。我县科技成果获国家科技进步二等奖1项，</w:t>
      </w:r>
      <w:r>
        <w:rPr>
          <w:rFonts w:hint="eastAsia"/>
          <w:lang w:val="en-US" w:eastAsia="zh-CN"/>
        </w:rPr>
        <w:t>市三等奖3项，</w:t>
      </w:r>
      <w:r>
        <w:rPr>
          <w:rFonts w:hint="eastAsia"/>
        </w:rPr>
        <w:t>省创新创业大赛</w:t>
      </w:r>
      <w:r>
        <w:rPr>
          <w:rFonts w:hint="eastAsia"/>
          <w:lang w:val="en-US" w:eastAsia="zh-CN"/>
        </w:rPr>
        <w:t>一</w:t>
      </w:r>
      <w:r>
        <w:rPr>
          <w:rFonts w:hint="eastAsia"/>
        </w:rPr>
        <w:t>等奖1项。</w:t>
      </w:r>
    </w:p>
    <w:bookmarkEnd w:id="2"/>
    <w:bookmarkEnd w:id="3"/>
    <w:p>
      <w:pPr>
        <w:numPr>
          <w:ilvl w:val="0"/>
          <w:numId w:val="2"/>
        </w:numPr>
        <w:adjustRightInd w:val="0"/>
        <w:spacing w:line="324" w:lineRule="auto"/>
        <w:outlineLvl w:val="1"/>
        <w:rPr>
          <w:rFonts w:ascii="楷体_GB2312" w:eastAsia="楷体_GB2312"/>
          <w:b/>
          <w:bCs/>
          <w:color w:val="000000"/>
          <w:szCs w:val="32"/>
        </w:rPr>
      </w:pPr>
      <w:bookmarkStart w:id="6" w:name="_Toc465859971"/>
      <w:bookmarkStart w:id="7" w:name="_Toc13045"/>
      <w:r>
        <w:rPr>
          <w:rFonts w:hint="eastAsia" w:ascii="楷体_GB2312" w:eastAsia="楷体_GB2312"/>
          <w:b/>
          <w:bCs/>
          <w:color w:val="000000"/>
          <w:szCs w:val="32"/>
        </w:rPr>
        <w:t>“十四五”面临的形势</w:t>
      </w:r>
      <w:bookmarkEnd w:id="6"/>
      <w:bookmarkEnd w:id="7"/>
    </w:p>
    <w:p>
      <w:pPr>
        <w:bidi w:val="0"/>
      </w:pPr>
      <w:r>
        <w:rPr>
          <w:rFonts w:hint="eastAsia"/>
          <w:b/>
          <w:bCs/>
        </w:rPr>
        <w:t>——从国际看，</w:t>
      </w:r>
      <w:r>
        <w:rPr>
          <w:rFonts w:hint="eastAsia"/>
        </w:rPr>
        <w:t>全球新一轮科技革命正在蓬勃发展，科技创造层出不穷。各主要经济体均将新能源、新材料、智能制造、机器人以及互联网技术的突破和应用放在竞争的突出位置，并广泛应用于生产和商业活动中。</w:t>
      </w:r>
    </w:p>
    <w:p>
      <w:pPr>
        <w:bidi w:val="0"/>
      </w:pPr>
      <w:r>
        <w:rPr>
          <w:rFonts w:hint="eastAsia"/>
          <w:b/>
          <w:bCs/>
        </w:rPr>
        <w:t>——从国内看</w:t>
      </w:r>
      <w:r>
        <w:rPr>
          <w:rFonts w:hint="eastAsia"/>
        </w:rPr>
        <w:t>，</w:t>
      </w:r>
      <w:r>
        <w:rPr>
          <w:rFonts w:hint="eastAsia"/>
          <w:b/>
          <w:bCs/>
        </w:rPr>
        <w:t>一是</w:t>
      </w:r>
      <w:r>
        <w:rPr>
          <w:rFonts w:hint="eastAsia"/>
        </w:rPr>
        <w:t>科技创新加速融合渗透趋势日益深化，大数据、云计算、移动设备终端等新一代信息技术成为催生产业变革、引领未来经济社会发展的新的推动力，新能源技术、生物技术、生命科学、纳米科技等领域孕育着重大机会，区域发展已经进入一个全方位、高速发展的创新时代。</w:t>
      </w:r>
      <w:r>
        <w:rPr>
          <w:rFonts w:hint="eastAsia"/>
          <w:b/>
          <w:bCs/>
        </w:rPr>
        <w:t>二是</w:t>
      </w:r>
      <w:r>
        <w:rPr>
          <w:rFonts w:hint="eastAsia"/>
        </w:rPr>
        <w:t>创新驱动战略深入落实，科技创新面临重大机遇，当前创新发展作为发展理念之首，摆在国家发展全局的核心位置，贯穿于党和国家一切工作，科技创新的地位与责任被提升至前所未有的新高度。</w:t>
      </w:r>
    </w:p>
    <w:p>
      <w:pPr>
        <w:bidi w:val="0"/>
      </w:pPr>
      <w:r>
        <w:rPr>
          <w:rFonts w:hint="eastAsia"/>
          <w:b/>
          <w:bCs/>
        </w:rPr>
        <w:t>——从省内看，</w:t>
      </w:r>
      <w:r>
        <w:rPr>
          <w:rFonts w:hint="eastAsia"/>
        </w:rPr>
        <w:t>广东省</w:t>
      </w:r>
      <w:r>
        <w:t>坚持把自主创新作为推动高质量发展的重要支撑，深入落实“科技创新十二条”等政策，持续加强基础与应用基础研究，聚焦“卡脖子”问题</w:t>
      </w:r>
      <w:r>
        <w:rPr>
          <w:rFonts w:hint="eastAsia"/>
        </w:rPr>
        <w:t>，</w:t>
      </w:r>
      <w:r>
        <w:t>组织实施九大重点领域</w:t>
      </w:r>
      <w:r>
        <w:rPr>
          <w:rFonts w:hint="eastAsia"/>
        </w:rPr>
        <w:t>、四</w:t>
      </w:r>
      <w:r>
        <w:t>批研发计划项目。企业创新能力不断增强，国家高新技术企业总量超5万家</w:t>
      </w:r>
      <w:r>
        <w:rPr>
          <w:rFonts w:hint="eastAsia"/>
        </w:rPr>
        <w:t>；</w:t>
      </w:r>
      <w:r>
        <w:t>新增一批省级制造业创新中心、技术创新中心和新型研发机构，规模以上工业企业建立研发机构比例达40%。</w:t>
      </w:r>
    </w:p>
    <w:p>
      <w:pPr>
        <w:bidi w:val="0"/>
      </w:pPr>
      <w:r>
        <w:rPr>
          <w:rFonts w:hint="eastAsia"/>
        </w:rPr>
        <w:t>韶关市</w:t>
      </w:r>
      <w:r>
        <w:t>牢固树立创新发展理念，建立健全创新体制机制，</w:t>
      </w:r>
      <w:r>
        <w:rPr>
          <w:rFonts w:hint="eastAsia"/>
        </w:rPr>
        <w:t>加强创新主体培育扶持，加快企业研发能力提升，</w:t>
      </w:r>
      <w:r>
        <w:t>培养和聚集创新创业人才，提升产学研创新水平，提高科技创新能力，大力发展互联网+，加快形成大众创业、万众创新的生动局面，实现发展动力从依靠规模扩张、要素驱动向提质增效为主要特征的创新驱动转换。</w:t>
      </w:r>
    </w:p>
    <w:p>
      <w:pPr>
        <w:bidi w:val="0"/>
      </w:pPr>
      <w:r>
        <w:rPr>
          <w:rFonts w:hint="eastAsia"/>
        </w:rPr>
        <w:t>新丰县加强高新技术企业培育步伐，建立健全企业研发平台及科技创新平台，组织引导企业申报科技项目，加快科技成果转化，推进专业镇的认定与转型升级。</w:t>
      </w:r>
      <w:r>
        <w:rPr>
          <w:rFonts w:hint="eastAsia"/>
          <w:lang w:eastAsia="zh-CN"/>
        </w:rPr>
        <w:t>同时，新丰县科技创新发展还存在一些困难。</w:t>
      </w:r>
      <w:r>
        <w:rPr>
          <w:rFonts w:hint="eastAsia"/>
        </w:rPr>
        <w:t>一是高新技术企业存量少、增量不足，科研水平不高。二是企业科技创新意识不</w:t>
      </w:r>
      <w:r>
        <w:rPr>
          <w:rFonts w:hint="eastAsia"/>
          <w:lang w:eastAsia="zh-CN"/>
        </w:rPr>
        <w:t>强</w:t>
      </w:r>
      <w:r>
        <w:rPr>
          <w:rFonts w:hint="eastAsia"/>
        </w:rPr>
        <w:t>，</w:t>
      </w:r>
      <w:r>
        <w:rPr>
          <w:rFonts w:hint="eastAsia"/>
          <w:lang w:eastAsia="zh-CN"/>
        </w:rPr>
        <w:t>研发投入不足</w:t>
      </w:r>
      <w:r>
        <w:rPr>
          <w:rFonts w:hint="eastAsia"/>
        </w:rPr>
        <w:t>。三是创新型人才缺乏，精通企业管理的专业型、技术型、复合型人才严重不足，人才结构性矛盾仍需改善。</w:t>
      </w:r>
    </w:p>
    <w:p>
      <w:pPr>
        <w:numPr>
          <w:ilvl w:val="0"/>
          <w:numId w:val="1"/>
        </w:numPr>
        <w:adjustRightInd w:val="0"/>
        <w:spacing w:line="324" w:lineRule="auto"/>
        <w:ind w:firstLine="630" w:firstLineChars="200"/>
        <w:outlineLvl w:val="0"/>
        <w:rPr>
          <w:rFonts w:ascii="黑体" w:hAnsi="黑体" w:eastAsia="黑体"/>
          <w:bCs/>
          <w:color w:val="000000"/>
          <w:szCs w:val="32"/>
        </w:rPr>
      </w:pPr>
      <w:bookmarkStart w:id="8" w:name="_Toc465858249"/>
      <w:bookmarkEnd w:id="8"/>
      <w:bookmarkStart w:id="9" w:name="_Toc465858280"/>
      <w:bookmarkEnd w:id="9"/>
      <w:bookmarkStart w:id="10" w:name="_Toc465858214"/>
      <w:bookmarkEnd w:id="10"/>
      <w:bookmarkStart w:id="11" w:name="_Toc465848179"/>
      <w:bookmarkEnd w:id="11"/>
      <w:bookmarkStart w:id="12" w:name="_Toc465858216"/>
      <w:bookmarkEnd w:id="12"/>
      <w:bookmarkStart w:id="13" w:name="_Toc465858277"/>
      <w:bookmarkEnd w:id="13"/>
      <w:bookmarkStart w:id="14" w:name="_Toc465858215"/>
      <w:bookmarkEnd w:id="14"/>
      <w:bookmarkStart w:id="15" w:name="_Toc465858246"/>
      <w:bookmarkEnd w:id="15"/>
      <w:bookmarkStart w:id="16" w:name="_Toc465859978"/>
      <w:bookmarkEnd w:id="16"/>
      <w:bookmarkStart w:id="17" w:name="_Toc465859972"/>
      <w:bookmarkEnd w:id="17"/>
      <w:bookmarkStart w:id="18" w:name="_Toc465858248"/>
      <w:bookmarkEnd w:id="18"/>
      <w:bookmarkStart w:id="19" w:name="_Toc465848180"/>
      <w:bookmarkEnd w:id="19"/>
      <w:bookmarkStart w:id="20" w:name="_Toc465859941"/>
      <w:bookmarkEnd w:id="20"/>
      <w:bookmarkStart w:id="21" w:name="_Toc465848178"/>
      <w:bookmarkEnd w:id="21"/>
      <w:bookmarkStart w:id="22" w:name="_Toc465858219"/>
      <w:bookmarkEnd w:id="22"/>
      <w:bookmarkStart w:id="23" w:name="_Toc465858218"/>
      <w:bookmarkEnd w:id="23"/>
      <w:bookmarkStart w:id="24" w:name="_Toc465859939"/>
      <w:bookmarkEnd w:id="24"/>
      <w:bookmarkStart w:id="25" w:name="_Toc465858188"/>
      <w:bookmarkEnd w:id="25"/>
      <w:bookmarkStart w:id="26" w:name="_Toc465859938"/>
      <w:bookmarkEnd w:id="26"/>
      <w:bookmarkStart w:id="27" w:name="_Toc465858278"/>
      <w:bookmarkEnd w:id="27"/>
      <w:bookmarkStart w:id="28" w:name="_Toc465858281"/>
      <w:bookmarkEnd w:id="28"/>
      <w:bookmarkStart w:id="29" w:name="_Toc465858189"/>
      <w:bookmarkEnd w:id="29"/>
      <w:bookmarkStart w:id="30" w:name="_Toc465858191"/>
      <w:bookmarkEnd w:id="30"/>
      <w:bookmarkStart w:id="31" w:name="_Toc465859973"/>
      <w:bookmarkEnd w:id="31"/>
      <w:bookmarkStart w:id="32" w:name="_Toc465858192"/>
      <w:bookmarkEnd w:id="32"/>
      <w:bookmarkStart w:id="33" w:name="_Toc465858190"/>
      <w:bookmarkEnd w:id="33"/>
      <w:bookmarkStart w:id="34" w:name="_Toc465858220"/>
      <w:bookmarkEnd w:id="34"/>
      <w:bookmarkStart w:id="35" w:name="_Toc465858186"/>
      <w:bookmarkEnd w:id="35"/>
      <w:bookmarkStart w:id="36" w:name="_Toc465859936"/>
      <w:bookmarkEnd w:id="36"/>
      <w:bookmarkStart w:id="37" w:name="_Toc465848176"/>
      <w:bookmarkEnd w:id="37"/>
      <w:bookmarkStart w:id="38" w:name="_Toc465859974"/>
      <w:bookmarkEnd w:id="38"/>
      <w:bookmarkStart w:id="39" w:name="_Toc465858217"/>
      <w:bookmarkEnd w:id="39"/>
      <w:bookmarkStart w:id="40" w:name="_Toc465858243"/>
      <w:bookmarkEnd w:id="40"/>
      <w:bookmarkStart w:id="41" w:name="_Toc465858244"/>
      <w:bookmarkEnd w:id="41"/>
      <w:bookmarkStart w:id="42" w:name="_Toc465859935"/>
      <w:bookmarkEnd w:id="42"/>
      <w:bookmarkStart w:id="43" w:name="_Toc465859977"/>
      <w:bookmarkEnd w:id="43"/>
      <w:bookmarkStart w:id="44" w:name="_Toc465858187"/>
      <w:bookmarkEnd w:id="44"/>
      <w:bookmarkStart w:id="45" w:name="_Toc465848182"/>
      <w:bookmarkEnd w:id="45"/>
      <w:bookmarkStart w:id="46" w:name="_Toc465858279"/>
      <w:bookmarkEnd w:id="46"/>
      <w:bookmarkStart w:id="47" w:name="_Toc465848177"/>
      <w:bookmarkEnd w:id="47"/>
      <w:bookmarkStart w:id="48" w:name="_Toc465859940"/>
      <w:bookmarkEnd w:id="48"/>
      <w:bookmarkStart w:id="49" w:name="_Toc465848181"/>
      <w:bookmarkEnd w:id="49"/>
      <w:bookmarkStart w:id="50" w:name="_Toc465858276"/>
      <w:bookmarkEnd w:id="50"/>
      <w:bookmarkStart w:id="51" w:name="_Toc465859937"/>
      <w:bookmarkEnd w:id="51"/>
      <w:bookmarkStart w:id="52" w:name="_Toc465859975"/>
      <w:bookmarkEnd w:id="52"/>
      <w:bookmarkStart w:id="53" w:name="_Toc465858247"/>
      <w:bookmarkEnd w:id="53"/>
      <w:bookmarkStart w:id="54" w:name="_Toc465858275"/>
      <w:bookmarkEnd w:id="54"/>
      <w:bookmarkStart w:id="55" w:name="_Toc465858245"/>
      <w:bookmarkEnd w:id="55"/>
      <w:bookmarkStart w:id="56" w:name="_Toc465859976"/>
      <w:bookmarkEnd w:id="56"/>
      <w:bookmarkStart w:id="57" w:name="_Toc5759"/>
      <w:r>
        <w:rPr>
          <w:rFonts w:hint="eastAsia" w:ascii="黑体" w:hAnsi="黑体" w:eastAsia="黑体"/>
          <w:bCs/>
          <w:color w:val="000000"/>
          <w:szCs w:val="32"/>
        </w:rPr>
        <w:t>总体要求</w:t>
      </w:r>
      <w:bookmarkEnd w:id="57"/>
    </w:p>
    <w:p>
      <w:pPr>
        <w:numPr>
          <w:ilvl w:val="0"/>
          <w:numId w:val="3"/>
        </w:numPr>
        <w:adjustRightInd w:val="0"/>
        <w:spacing w:line="324" w:lineRule="auto"/>
        <w:outlineLvl w:val="1"/>
        <w:rPr>
          <w:rFonts w:ascii="楷体_GB2312" w:eastAsia="楷体_GB2312"/>
          <w:b/>
          <w:bCs/>
          <w:color w:val="000000"/>
          <w:szCs w:val="32"/>
        </w:rPr>
      </w:pPr>
      <w:bookmarkStart w:id="58" w:name="_Toc5621"/>
      <w:bookmarkStart w:id="59" w:name="_Toc465859980"/>
      <w:r>
        <w:rPr>
          <w:rFonts w:hint="eastAsia" w:ascii="楷体_GB2312" w:eastAsia="楷体_GB2312"/>
          <w:b/>
          <w:bCs/>
          <w:color w:val="000000"/>
          <w:szCs w:val="32"/>
        </w:rPr>
        <w:t>指导思想</w:t>
      </w:r>
      <w:bookmarkEnd w:id="58"/>
      <w:bookmarkEnd w:id="59"/>
      <w:bookmarkStart w:id="60" w:name="_Toc16547"/>
    </w:p>
    <w:p>
      <w:pPr>
        <w:bidi w:val="0"/>
      </w:pPr>
      <w:r>
        <w:rPr>
          <w:rFonts w:hint="eastAsia"/>
        </w:rPr>
        <w:t>坚持以习近平新时代中国特色社会主义思想为指导，全面贯彻落实党的十九大和十九届二中、三中全会精神，落实习近平总书记关于科技创新重要论述，全面落实上</w:t>
      </w:r>
      <w:r>
        <w:rPr>
          <w:rFonts w:hint="eastAsia"/>
          <w:lang w:eastAsia="zh-CN"/>
        </w:rPr>
        <w:t>级</w:t>
      </w:r>
      <w:r>
        <w:rPr>
          <w:rFonts w:hint="eastAsia"/>
        </w:rPr>
        <w:t>政府工作部署，坚持以科技创新驱动经济高质量发展为主线，聚焦地方未来5年经济、社会和科技发展，针对性学习借鉴先进地区的做法经验，理清地方科技工作存在的短板与不足，进行总体设计和统筹安排，找准科技工作的切入点与着力点，结合地方经济与社会发展对科技创新的具体需求，提出地方科技创新的指导方针，明确重大战略目标和重点任务，绘制清晰产业创新链条，制定有效的政策和措施，让编制规划切实成为地方未来五年科技发展的行动纲领和工作指导。</w:t>
      </w:r>
    </w:p>
    <w:bookmarkEnd w:id="60"/>
    <w:p>
      <w:pPr>
        <w:numPr>
          <w:ilvl w:val="0"/>
          <w:numId w:val="3"/>
        </w:numPr>
        <w:adjustRightInd w:val="0"/>
        <w:spacing w:line="324" w:lineRule="auto"/>
        <w:outlineLvl w:val="1"/>
        <w:rPr>
          <w:rFonts w:ascii="楷体_GB2312" w:eastAsia="楷体_GB2312"/>
          <w:b/>
          <w:bCs/>
          <w:color w:val="000000"/>
          <w:szCs w:val="32"/>
        </w:rPr>
      </w:pPr>
      <w:bookmarkStart w:id="61" w:name="_Toc24965"/>
      <w:bookmarkStart w:id="62" w:name="_Toc465859981"/>
      <w:r>
        <w:rPr>
          <w:rFonts w:hint="eastAsia" w:ascii="楷体_GB2312" w:eastAsia="楷体_GB2312"/>
          <w:b/>
          <w:bCs/>
          <w:color w:val="000000"/>
          <w:szCs w:val="32"/>
        </w:rPr>
        <w:t>基本原则</w:t>
      </w:r>
      <w:bookmarkEnd w:id="61"/>
      <w:bookmarkEnd w:id="62"/>
    </w:p>
    <w:p>
      <w:pPr>
        <w:bidi w:val="0"/>
        <w:rPr>
          <w:rFonts w:hint="eastAsia" w:eastAsia="仿宋_GB2312"/>
          <w:lang w:eastAsia="zh-CN"/>
        </w:rPr>
      </w:pPr>
      <w:r>
        <w:rPr>
          <w:rFonts w:hint="eastAsia"/>
        </w:rPr>
        <w:t>紧扣“融入珠三角、服务大湾区，生态富民立县”发展战略，围绕“融入湾区、服务双区，生态发展、富民强县”战略部署，依托与大湾区接壤的区位条件和生态、农业、森林资源优势，率先成为韶关融入大湾区高质量融合发展的排头兵，深入对接、服务“双区”的大门，形成与大湾区融合发展的新格局</w:t>
      </w:r>
      <w:r>
        <w:rPr>
          <w:rFonts w:hint="eastAsia"/>
          <w:lang w:eastAsia="zh-CN"/>
        </w:rPr>
        <w:t>。</w:t>
      </w:r>
    </w:p>
    <w:p>
      <w:pPr>
        <w:bidi w:val="0"/>
      </w:pPr>
      <w:r>
        <w:rPr>
          <w:rFonts w:hint="eastAsia"/>
          <w:b/>
          <w:bCs/>
        </w:rPr>
        <w:t>融入湾区先行发展区。</w:t>
      </w:r>
      <w:r>
        <w:rPr>
          <w:rFonts w:hint="eastAsia"/>
        </w:rPr>
        <w:t>发挥区位优势，主动融入大湾区，加强与大湾区交通基础设施、产业、市场体系的对接。健全与大湾区长效交流合作机制，全方位从交通、人才、技术、资金、市场等方面衔接，打造与大湾区接轨的营商环境，全面提升城市</w:t>
      </w:r>
      <w:r>
        <w:rPr>
          <w:rFonts w:hint="eastAsia"/>
          <w:lang w:eastAsia="zh-CN"/>
        </w:rPr>
        <w:t>品味</w:t>
      </w:r>
      <w:r>
        <w:rPr>
          <w:rFonts w:hint="eastAsia"/>
        </w:rPr>
        <w:t>，推进高端要素配置，构建与大湾区融合发展的新局面，承载韶关市与大湾区融合发展的桥头堡，实现高质量发展。</w:t>
      </w:r>
    </w:p>
    <w:p>
      <w:pPr>
        <w:bidi w:val="0"/>
      </w:pPr>
      <w:r>
        <w:rPr>
          <w:rFonts w:hint="eastAsia"/>
          <w:b/>
          <w:bCs/>
        </w:rPr>
        <w:t>建立核心产业重点区。</w:t>
      </w:r>
      <w:r>
        <w:rPr>
          <w:rFonts w:hint="eastAsia"/>
        </w:rPr>
        <w:t>我县拥有丰富的自然矿产、林业、水力资源，交通便利，区位优势明显，经济稳步增长，具有较好的发展基础。通过实施“融湾计划”，积极承接大湾区新一代信息技术、生物医药、新能源、新材料、农业科技、高端装备制造等产业转移共建，以对口帮扶产业共建为契机，主动参与大湾区产业分工协作，全面融入区域产业链。推进产业转型升级，实现功能互补、产业分工、市场对接和错位发展，全面增强发展</w:t>
      </w:r>
      <w:r>
        <w:rPr>
          <w:rFonts w:hint="eastAsia"/>
          <w:lang w:eastAsia="zh-CN"/>
        </w:rPr>
        <w:t>动能</w:t>
      </w:r>
      <w:r>
        <w:rPr>
          <w:rFonts w:hint="eastAsia"/>
        </w:rPr>
        <w:t>。</w:t>
      </w:r>
    </w:p>
    <w:p>
      <w:pPr>
        <w:bidi w:val="0"/>
      </w:pPr>
      <w:r>
        <w:rPr>
          <w:rFonts w:hint="eastAsia"/>
          <w:b/>
          <w:bCs/>
        </w:rPr>
        <w:t>打造绿色新型智慧城市。</w:t>
      </w:r>
      <w:r>
        <w:rPr>
          <w:rFonts w:hint="eastAsia"/>
        </w:rPr>
        <w:t>推进</w:t>
      </w:r>
      <w:r>
        <w:rPr>
          <w:rFonts w:hint="eastAsia"/>
          <w:lang w:eastAsia="zh-CN"/>
        </w:rPr>
        <w:t>与</w:t>
      </w:r>
      <w:r>
        <w:rPr>
          <w:rFonts w:hint="eastAsia"/>
        </w:rPr>
        <w:t>新一代信息技术的深度融合与迭代演进，打造绿色、数字化、无缝连接的生态、智慧型县区；推动</w:t>
      </w:r>
      <w:r>
        <w:rPr>
          <w:rFonts w:hint="eastAsia"/>
          <w:lang w:eastAsia="zh-CN"/>
        </w:rPr>
        <w:t>新丰县</w:t>
      </w:r>
      <w:r>
        <w:rPr>
          <w:rFonts w:hint="eastAsia"/>
        </w:rPr>
        <w:t>5G智慧城市项目建设，促进科技创新、经济发展、生态保护和社会进步的和谐发展；建设环境清洁、优美、舒适、宜居宜游宜业的绿色生态新型智慧城市；全面加强社会治理，</w:t>
      </w:r>
      <w:r>
        <w:rPr>
          <w:rFonts w:hint="eastAsia"/>
          <w:lang w:eastAsia="zh-CN"/>
        </w:rPr>
        <w:t>提升</w:t>
      </w:r>
      <w:r>
        <w:rPr>
          <w:rFonts w:hint="eastAsia"/>
        </w:rPr>
        <w:t>公共服务均等化水平，不断增进民生福祉，提升人民群众幸福感。</w:t>
      </w:r>
    </w:p>
    <w:p>
      <w:pPr>
        <w:numPr>
          <w:ilvl w:val="0"/>
          <w:numId w:val="3"/>
        </w:numPr>
        <w:adjustRightInd w:val="0"/>
        <w:spacing w:line="324" w:lineRule="auto"/>
        <w:outlineLvl w:val="1"/>
        <w:rPr>
          <w:rFonts w:ascii="楷体_GB2312" w:eastAsia="楷体_GB2312"/>
          <w:b/>
          <w:bCs/>
          <w:color w:val="000000"/>
          <w:szCs w:val="32"/>
        </w:rPr>
      </w:pPr>
      <w:bookmarkStart w:id="63" w:name="_Toc2155"/>
      <w:bookmarkStart w:id="64" w:name="_Toc465859982"/>
      <w:r>
        <w:rPr>
          <w:rFonts w:hint="eastAsia" w:ascii="楷体_GB2312" w:eastAsia="楷体_GB2312"/>
          <w:b/>
          <w:bCs/>
          <w:color w:val="000000"/>
          <w:szCs w:val="32"/>
        </w:rPr>
        <w:t>发展目标</w:t>
      </w:r>
      <w:bookmarkEnd w:id="63"/>
      <w:bookmarkEnd w:id="64"/>
    </w:p>
    <w:p>
      <w:pPr>
        <w:bidi w:val="0"/>
      </w:pPr>
      <w:r>
        <w:rPr>
          <w:rFonts w:hint="eastAsia"/>
        </w:rPr>
        <w:t>到2025年，基本建立适应创新驱动发展战略要求、符合区域经济社会发展需求的创新体系，科技创新能力显著增强，企业、高校等创新主体充满活力、高效协同；人才、技术、资本等创新要素流动更加顺畅，科技管理体制机制更加完善，大众创业、万众创新氛围更加浓厚，创新效率显著提升。围绕基本实现社会主义现代化的科技需求，加强科技改革发展的顶层设计。 </w:t>
      </w:r>
    </w:p>
    <w:p>
      <w:pPr>
        <w:bidi w:val="0"/>
      </w:pPr>
      <w:r>
        <w:rPr>
          <w:rFonts w:hint="eastAsia"/>
          <w:b/>
          <w:bCs/>
        </w:rPr>
        <w:t>提升创新驱动水平。</w:t>
      </w:r>
      <w:r>
        <w:rPr>
          <w:rFonts w:hint="eastAsia"/>
        </w:rPr>
        <w:t>到2025年，预计引进</w:t>
      </w:r>
      <w:r>
        <w:rPr>
          <w:rFonts w:hint="eastAsia"/>
          <w:lang w:eastAsia="zh-CN"/>
        </w:rPr>
        <w:t>科技创新</w:t>
      </w:r>
      <w:r>
        <w:rPr>
          <w:rFonts w:hint="eastAsia"/>
        </w:rPr>
        <w:t>人才</w:t>
      </w:r>
      <w:r>
        <w:rPr>
          <w:rFonts w:hint="eastAsia"/>
          <w:lang w:val="en-US" w:eastAsia="zh-CN"/>
        </w:rPr>
        <w:t>80</w:t>
      </w:r>
      <w:r>
        <w:rPr>
          <w:rFonts w:hint="eastAsia"/>
        </w:rPr>
        <w:t>名，增加高新技术企业</w:t>
      </w:r>
      <w:r>
        <w:rPr>
          <w:rFonts w:hint="eastAsia"/>
          <w:lang w:val="en-US" w:eastAsia="zh-CN"/>
        </w:rPr>
        <w:t>10</w:t>
      </w:r>
      <w:r>
        <w:rPr>
          <w:rFonts w:hint="eastAsia"/>
        </w:rPr>
        <w:t>家，工程</w:t>
      </w:r>
      <w:r>
        <w:rPr>
          <w:rFonts w:hint="eastAsia"/>
          <w:lang w:eastAsia="zh-CN"/>
        </w:rPr>
        <w:t>技术研究</w:t>
      </w:r>
      <w:r>
        <w:rPr>
          <w:rFonts w:hint="eastAsia"/>
        </w:rPr>
        <w:t>中心</w:t>
      </w:r>
      <w:r>
        <w:rPr>
          <w:rFonts w:hint="eastAsia"/>
          <w:lang w:val="en-US" w:eastAsia="zh-CN"/>
        </w:rPr>
        <w:t>10</w:t>
      </w:r>
      <w:r>
        <w:rPr>
          <w:rFonts w:hint="eastAsia"/>
        </w:rPr>
        <w:t>个，R&amp;D投入占地区生产总值达到</w:t>
      </w:r>
      <w:r>
        <w:rPr>
          <w:rFonts w:hint="eastAsia"/>
          <w:lang w:val="en-US" w:eastAsia="zh-CN"/>
        </w:rPr>
        <w:t>1.3%～1.5%</w:t>
      </w:r>
      <w:r>
        <w:rPr>
          <w:rFonts w:hint="eastAsia"/>
        </w:rPr>
        <w:t>，每万人发明专利拥有量达</w:t>
      </w:r>
      <w:r>
        <w:rPr>
          <w:rFonts w:hint="eastAsia"/>
          <w:lang w:val="en-US" w:eastAsia="zh-CN"/>
        </w:rPr>
        <w:t>2.0</w:t>
      </w:r>
      <w:r>
        <w:rPr>
          <w:rFonts w:hint="eastAsia"/>
        </w:rPr>
        <w:t>件。</w:t>
      </w:r>
    </w:p>
    <w:p>
      <w:pPr>
        <w:bidi w:val="0"/>
        <w:rPr>
          <w:rFonts w:hint="default"/>
          <w:lang w:val="en-US" w:eastAsia="zh-CN"/>
        </w:rPr>
      </w:pPr>
      <w:r>
        <w:rPr>
          <w:rFonts w:hint="eastAsia"/>
          <w:b/>
          <w:bCs/>
        </w:rPr>
        <w:t>加强农业科技创新。</w:t>
      </w:r>
      <w:r>
        <w:rPr>
          <w:rFonts w:hint="eastAsia"/>
        </w:rPr>
        <w:t>绿色生态农业取得明显进展，农业现代化基于“互联网+”的新业态、新商业模式加快涌现。依托重大农业科研项目、重点学科、科研基地，加强农业科技创新团队建设，培育农业科技高层次人才，特别是领军人才。加快农业科技成果转化，促进政产学研、农科教结合，支持高等学校、科研院所同农民专业合作社、龙头企业、农户开展多种形式技术合作</w:t>
      </w:r>
      <w:r>
        <w:rPr>
          <w:rFonts w:hint="eastAsia"/>
          <w:lang w:eastAsia="zh-CN"/>
        </w:rPr>
        <w:t>，</w:t>
      </w:r>
      <w:r>
        <w:rPr>
          <w:rFonts w:hint="eastAsia"/>
          <w:lang w:val="en-US" w:eastAsia="zh-CN"/>
        </w:rPr>
        <w:t>鼓励农业企业申报国家高新技术企业。</w:t>
      </w:r>
    </w:p>
    <w:p>
      <w:pPr>
        <w:bidi w:val="0"/>
      </w:pPr>
      <w:r>
        <w:rPr>
          <w:rFonts w:hint="eastAsia"/>
          <w:b/>
          <w:bCs/>
        </w:rPr>
        <w:t>完善科技基础设施。</w:t>
      </w:r>
      <w:r>
        <w:rPr>
          <w:rFonts w:hint="eastAsia"/>
        </w:rPr>
        <w:t>争取落户若干面向全国、服务全省的科技基础设施，聚集一批高质量</w:t>
      </w:r>
      <w:r>
        <w:rPr>
          <w:rFonts w:hint="eastAsia"/>
          <w:lang w:eastAsia="zh-CN"/>
        </w:rPr>
        <w:t>、高科技企业</w:t>
      </w:r>
      <w:r>
        <w:rPr>
          <w:rFonts w:hint="eastAsia"/>
        </w:rPr>
        <w:t>，打造一批国家级创新能力平台。力争到</w:t>
      </w:r>
      <w:r>
        <w:t>202</w:t>
      </w:r>
      <w:r>
        <w:rPr>
          <w:rFonts w:hint="eastAsia"/>
        </w:rPr>
        <w:t>5年省级工程实验室、重点实验室、工程中心和企业技术中心等</w:t>
      </w:r>
      <w:r>
        <w:rPr>
          <w:rFonts w:hint="eastAsia"/>
          <w:lang w:eastAsia="zh-CN"/>
        </w:rPr>
        <w:t>创新平台</w:t>
      </w:r>
      <w:r>
        <w:rPr>
          <w:rFonts w:hint="eastAsia"/>
        </w:rPr>
        <w:t>达到</w:t>
      </w:r>
      <w:r>
        <w:rPr>
          <w:rFonts w:hint="eastAsia"/>
          <w:lang w:val="en-US" w:eastAsia="zh-CN"/>
        </w:rPr>
        <w:t>10</w:t>
      </w:r>
      <w:r>
        <w:rPr>
          <w:rFonts w:hint="eastAsia"/>
        </w:rPr>
        <w:t>家以上，建成</w:t>
      </w:r>
      <w:r>
        <w:rPr>
          <w:rFonts w:hint="eastAsia"/>
          <w:lang w:val="en-US" w:eastAsia="zh-CN"/>
        </w:rPr>
        <w:t>4家</w:t>
      </w:r>
      <w:r>
        <w:rPr>
          <w:rFonts w:hint="eastAsia"/>
        </w:rPr>
        <w:t>具</w:t>
      </w:r>
      <w:r>
        <w:rPr>
          <w:rFonts w:hint="eastAsia"/>
          <w:lang w:val="en-US" w:eastAsia="zh-CN"/>
        </w:rPr>
        <w:t>省级</w:t>
      </w:r>
      <w:r>
        <w:rPr>
          <w:rFonts w:hint="eastAsia"/>
        </w:rPr>
        <w:t>重大创新平台。</w:t>
      </w:r>
    </w:p>
    <w:p>
      <w:pPr>
        <w:bidi w:val="0"/>
      </w:pPr>
      <w:r>
        <w:rPr>
          <w:rFonts w:hint="eastAsia"/>
          <w:b/>
          <w:bCs/>
        </w:rPr>
        <w:t>打造创新创业集聚区。</w:t>
      </w:r>
      <w:r>
        <w:rPr>
          <w:rFonts w:hint="eastAsia"/>
        </w:rPr>
        <w:t>大力培育和发展新兴产业，持续关注世界产业变革，布局前沿方向，信息经济不断壮大，新产业、新业态、新技术和新模式的“四新经济”成为经济增长主引擎，力争在新材料、新能源、先进装备制造等领域建成省级制造业创新中心以及工业技术研究基地。“十</w:t>
      </w:r>
      <w:r>
        <w:rPr>
          <w:rFonts w:hint="eastAsia"/>
          <w:lang w:eastAsia="zh-CN"/>
        </w:rPr>
        <w:t>四</w:t>
      </w:r>
      <w:r>
        <w:rPr>
          <w:rFonts w:hint="eastAsia"/>
        </w:rPr>
        <w:t>五”期间高新技术产业、战略性新兴产业增加值占全</w:t>
      </w:r>
      <w:r>
        <w:rPr>
          <w:rFonts w:hint="eastAsia"/>
          <w:lang w:eastAsia="zh-CN"/>
        </w:rPr>
        <w:t>县</w:t>
      </w:r>
      <w:r>
        <w:rPr>
          <w:rFonts w:hint="eastAsia"/>
        </w:rPr>
        <w:t>生产总值的比重分别达到</w:t>
      </w:r>
      <w:r>
        <w:t>35%</w:t>
      </w:r>
      <w:r>
        <w:rPr>
          <w:rFonts w:hint="eastAsia"/>
        </w:rPr>
        <w:t>、</w:t>
      </w:r>
      <w:r>
        <w:t>45%</w:t>
      </w:r>
      <w:r>
        <w:rPr>
          <w:rFonts w:hint="eastAsia"/>
        </w:rPr>
        <w:t>，力争到2025年末高新技术企业超过</w:t>
      </w:r>
      <w:r>
        <w:rPr>
          <w:rFonts w:hint="eastAsia"/>
          <w:lang w:val="en-US" w:eastAsia="zh-CN"/>
        </w:rPr>
        <w:t>18</w:t>
      </w:r>
      <w:r>
        <w:rPr>
          <w:rFonts w:hint="eastAsia"/>
        </w:rPr>
        <w:t>家，高新技术产业增加值占规模以上工业增加值比重</w:t>
      </w:r>
      <w:r>
        <w:rPr>
          <w:rFonts w:hint="eastAsia"/>
          <w:lang w:val="en-US" w:eastAsia="zh-CN"/>
        </w:rPr>
        <w:t>35</w:t>
      </w:r>
      <w:r>
        <w:rPr>
          <w:rFonts w:hint="eastAsia"/>
        </w:rPr>
        <w:t>%。</w:t>
      </w:r>
    </w:p>
    <w:p>
      <w:pPr>
        <w:keepNext w:val="0"/>
        <w:keepLines w:val="0"/>
        <w:pageBreakBefore w:val="0"/>
        <w:widowControl w:val="0"/>
        <w:kinsoku/>
        <w:wordWrap/>
        <w:overflowPunct/>
        <w:topLinePunct w:val="0"/>
        <w:autoSpaceDE/>
        <w:autoSpaceDN/>
        <w:bidi w:val="0"/>
        <w:adjustRightInd/>
        <w:snapToGrid/>
        <w:spacing w:after="319" w:afterLines="50"/>
        <w:textAlignment w:val="auto"/>
        <w:rPr>
          <w:rFonts w:hint="eastAsia"/>
        </w:rPr>
      </w:pPr>
      <w:r>
        <w:rPr>
          <w:rFonts w:hint="eastAsia"/>
          <w:b/>
          <w:bCs/>
        </w:rPr>
        <w:t>壮大创新创业人才队伍。</w:t>
      </w:r>
      <w:r>
        <w:rPr>
          <w:rFonts w:hint="eastAsia"/>
        </w:rPr>
        <w:t>人才改革试验取得突破，</w:t>
      </w:r>
      <w:r>
        <w:t>人才创新活力和创造潜能</w:t>
      </w:r>
      <w:r>
        <w:rPr>
          <w:rFonts w:hint="eastAsia"/>
        </w:rPr>
        <w:t>不断</w:t>
      </w:r>
      <w:r>
        <w:t>激发</w:t>
      </w:r>
      <w:r>
        <w:rPr>
          <w:rFonts w:hint="eastAsia"/>
        </w:rPr>
        <w:t>，创新创业环境持续优化，人才法律政策环境不断完善，扩大创新创业人才队伍，力争到</w:t>
      </w:r>
      <w:r>
        <w:t>202</w:t>
      </w:r>
      <w:r>
        <w:rPr>
          <w:rFonts w:hint="eastAsia"/>
        </w:rPr>
        <w:t>5年高层次创新团队</w:t>
      </w:r>
      <w:r>
        <w:rPr>
          <w:rFonts w:hint="eastAsia"/>
          <w:lang w:val="en-US" w:eastAsia="zh-CN"/>
        </w:rPr>
        <w:t>1</w:t>
      </w:r>
      <w:r>
        <w:rPr>
          <w:rFonts w:hint="eastAsia"/>
        </w:rPr>
        <w:t>个、高层次人才</w:t>
      </w:r>
      <w:r>
        <w:rPr>
          <w:rFonts w:hint="eastAsia"/>
          <w:lang w:val="en-US" w:eastAsia="zh-CN"/>
        </w:rPr>
        <w:t>5</w:t>
      </w:r>
      <w:r>
        <w:rPr>
          <w:rFonts w:hint="eastAsia"/>
        </w:rPr>
        <w:t>名以上。</w:t>
      </w:r>
    </w:p>
    <w:tbl>
      <w:tblPr>
        <w:tblStyle w:val="12"/>
        <w:tblW w:w="5002" w:type="pct"/>
        <w:tblInd w:w="0" w:type="dxa"/>
        <w:tblLayout w:type="autofit"/>
        <w:tblCellMar>
          <w:top w:w="15" w:type="dxa"/>
          <w:left w:w="15" w:type="dxa"/>
          <w:bottom w:w="15" w:type="dxa"/>
          <w:right w:w="15" w:type="dxa"/>
        </w:tblCellMar>
      </w:tblPr>
      <w:tblGrid>
        <w:gridCol w:w="5555"/>
        <w:gridCol w:w="987"/>
        <w:gridCol w:w="1128"/>
        <w:gridCol w:w="1209"/>
      </w:tblGrid>
      <w:tr>
        <w:tblPrEx>
          <w:tblCellMar>
            <w:top w:w="15" w:type="dxa"/>
            <w:left w:w="15" w:type="dxa"/>
            <w:bottom w:w="15" w:type="dxa"/>
            <w:right w:w="15" w:type="dxa"/>
          </w:tblCellMar>
        </w:tblPrEx>
        <w:trPr>
          <w:trHeight w:val="680" w:hRule="exact"/>
          <w:tblHeader/>
        </w:trPr>
        <w:tc>
          <w:tcPr>
            <w:tcW w:w="5000"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_GB2312"/>
                <w:b/>
                <w:color w:val="000000"/>
                <w:kern w:val="0"/>
                <w:sz w:val="28"/>
                <w:szCs w:val="28"/>
                <w:lang w:bidi="ar"/>
              </w:rPr>
            </w:pPr>
            <w:r>
              <w:rPr>
                <w:rFonts w:hint="eastAsia" w:ascii="仿宋_GB2312"/>
                <w:b/>
                <w:color w:val="000000"/>
                <w:kern w:val="0"/>
                <w:sz w:val="28"/>
                <w:szCs w:val="28"/>
                <w:lang w:bidi="ar"/>
              </w:rPr>
              <w:t>专栏 “十四五”科技创新规划主要指标</w:t>
            </w:r>
          </w:p>
        </w:tc>
      </w:tr>
      <w:tr>
        <w:tblPrEx>
          <w:tblCellMar>
            <w:top w:w="15" w:type="dxa"/>
            <w:left w:w="15" w:type="dxa"/>
            <w:bottom w:w="15" w:type="dxa"/>
            <w:right w:w="15" w:type="dxa"/>
          </w:tblCellMar>
        </w:tblPrEx>
        <w:trPr>
          <w:trHeight w:val="624" w:hRule="exact"/>
          <w:tblHeader/>
        </w:trPr>
        <w:tc>
          <w:tcPr>
            <w:tcW w:w="312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ascii="仿宋_GB2312"/>
                <w:b/>
                <w:color w:val="000000"/>
                <w:sz w:val="28"/>
                <w:szCs w:val="28"/>
              </w:rPr>
            </w:pPr>
            <w:r>
              <w:rPr>
                <w:rFonts w:hint="eastAsia" w:ascii="仿宋_GB2312"/>
                <w:b/>
                <w:color w:val="000000"/>
                <w:kern w:val="0"/>
                <w:sz w:val="28"/>
                <w:szCs w:val="28"/>
                <w:lang w:bidi="ar"/>
              </w:rPr>
              <w:t>指标</w:t>
            </w:r>
          </w:p>
        </w:tc>
        <w:tc>
          <w:tcPr>
            <w:tcW w:w="55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ascii="仿宋_GB2312"/>
                <w:b/>
                <w:color w:val="000000"/>
                <w:sz w:val="28"/>
                <w:szCs w:val="28"/>
              </w:rPr>
            </w:pPr>
            <w:r>
              <w:rPr>
                <w:rFonts w:hint="eastAsia" w:ascii="仿宋_GB2312"/>
                <w:b/>
                <w:color w:val="000000"/>
                <w:kern w:val="0"/>
                <w:sz w:val="28"/>
                <w:szCs w:val="28"/>
                <w:lang w:bidi="ar"/>
              </w:rPr>
              <w:t>2019年现状</w:t>
            </w:r>
          </w:p>
        </w:tc>
        <w:tc>
          <w:tcPr>
            <w:tcW w:w="635"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eastAsia" w:ascii="仿宋_GB2312"/>
                <w:b/>
                <w:color w:val="000000"/>
                <w:kern w:val="0"/>
                <w:sz w:val="28"/>
                <w:szCs w:val="28"/>
                <w:lang w:bidi="ar"/>
              </w:rPr>
            </w:pPr>
            <w:r>
              <w:rPr>
                <w:rFonts w:hint="eastAsia" w:ascii="仿宋_GB2312"/>
                <w:b/>
                <w:color w:val="000000"/>
                <w:kern w:val="0"/>
                <w:sz w:val="28"/>
                <w:szCs w:val="28"/>
                <w:lang w:bidi="ar"/>
              </w:rPr>
              <w:t>202</w:t>
            </w:r>
            <w:r>
              <w:rPr>
                <w:rFonts w:hint="eastAsia" w:ascii="仿宋_GB2312"/>
                <w:b/>
                <w:color w:val="000000"/>
                <w:kern w:val="0"/>
                <w:sz w:val="28"/>
                <w:szCs w:val="28"/>
                <w:lang w:val="en-US" w:eastAsia="zh-CN" w:bidi="ar"/>
              </w:rPr>
              <w:t>0</w:t>
            </w:r>
            <w:r>
              <w:rPr>
                <w:rFonts w:hint="eastAsia" w:ascii="仿宋_GB2312"/>
                <w:b/>
                <w:color w:val="000000"/>
                <w:kern w:val="0"/>
                <w:sz w:val="28"/>
                <w:szCs w:val="28"/>
                <w:lang w:bidi="ar"/>
              </w:rPr>
              <w:t>年</w:t>
            </w:r>
          </w:p>
          <w:p>
            <w:pPr>
              <w:widowControl/>
              <w:spacing w:line="240" w:lineRule="auto"/>
              <w:ind w:left="0" w:leftChars="0" w:firstLine="0" w:firstLineChars="0"/>
              <w:jc w:val="center"/>
              <w:textAlignment w:val="center"/>
              <w:rPr>
                <w:rFonts w:ascii="仿宋_GB2312"/>
                <w:b/>
                <w:color w:val="000000"/>
                <w:sz w:val="28"/>
                <w:szCs w:val="28"/>
              </w:rPr>
            </w:pPr>
            <w:r>
              <w:rPr>
                <w:rFonts w:hint="eastAsia" w:ascii="仿宋_GB2312"/>
                <w:b/>
                <w:color w:val="000000"/>
                <w:kern w:val="0"/>
                <w:sz w:val="28"/>
                <w:szCs w:val="28"/>
                <w:lang w:bidi="ar"/>
              </w:rPr>
              <w:t>目标</w:t>
            </w:r>
          </w:p>
        </w:tc>
        <w:tc>
          <w:tcPr>
            <w:tcW w:w="67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ascii="仿宋_GB2312"/>
                <w:b/>
                <w:color w:val="000000"/>
                <w:sz w:val="28"/>
                <w:szCs w:val="28"/>
              </w:rPr>
            </w:pPr>
            <w:r>
              <w:rPr>
                <w:rFonts w:hint="eastAsia" w:ascii="仿宋_GB2312"/>
                <w:b/>
                <w:color w:val="000000"/>
                <w:kern w:val="0"/>
                <w:sz w:val="28"/>
                <w:szCs w:val="28"/>
                <w:lang w:bidi="ar"/>
              </w:rPr>
              <w:t>年均增幅</w:t>
            </w:r>
          </w:p>
        </w:tc>
      </w:tr>
      <w:tr>
        <w:tblPrEx>
          <w:tblCellMar>
            <w:top w:w="15" w:type="dxa"/>
            <w:left w:w="15" w:type="dxa"/>
            <w:bottom w:w="15" w:type="dxa"/>
            <w:right w:w="15" w:type="dxa"/>
          </w:tblCellMar>
        </w:tblPrEx>
        <w:trPr>
          <w:trHeight w:val="527" w:hRule="exact"/>
          <w:tblHeader/>
        </w:trPr>
        <w:tc>
          <w:tcPr>
            <w:tcW w:w="3128"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_GB2312"/>
                <w:b/>
                <w:color w:val="000000"/>
                <w:sz w:val="24"/>
                <w:szCs w:val="24"/>
              </w:rPr>
            </w:pPr>
          </w:p>
        </w:tc>
        <w:tc>
          <w:tcPr>
            <w:tcW w:w="55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_GB2312"/>
                <w:b/>
                <w:color w:val="000000"/>
                <w:sz w:val="24"/>
                <w:szCs w:val="24"/>
              </w:rPr>
            </w:pPr>
          </w:p>
        </w:tc>
        <w:tc>
          <w:tcPr>
            <w:tcW w:w="635"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_GB2312"/>
                <w:b/>
                <w:color w:val="000000"/>
                <w:sz w:val="24"/>
                <w:szCs w:val="24"/>
              </w:rPr>
            </w:pPr>
          </w:p>
        </w:tc>
        <w:tc>
          <w:tcPr>
            <w:tcW w:w="679"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_GB2312"/>
                <w:b/>
                <w:color w:val="000000"/>
                <w:sz w:val="24"/>
                <w:szCs w:val="24"/>
              </w:rPr>
            </w:pPr>
          </w:p>
        </w:tc>
      </w:tr>
      <w:tr>
        <w:tblPrEx>
          <w:tblCellMar>
            <w:top w:w="15" w:type="dxa"/>
            <w:left w:w="15" w:type="dxa"/>
            <w:bottom w:w="15" w:type="dxa"/>
            <w:right w:w="15" w:type="dxa"/>
          </w:tblCellMar>
        </w:tblPrEx>
        <w:trPr>
          <w:trHeight w:val="624" w:hRule="exact"/>
        </w:trPr>
        <w:tc>
          <w:tcPr>
            <w:tcW w:w="31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center"/>
              <w:rPr>
                <w:rFonts w:ascii="仿宋_GB2312"/>
                <w:color w:val="000000"/>
                <w:sz w:val="24"/>
                <w:szCs w:val="24"/>
              </w:rPr>
            </w:pPr>
            <w:r>
              <w:rPr>
                <w:rStyle w:val="17"/>
                <w:rFonts w:hint="default" w:ascii="仿宋_GB2312" w:hAnsi="Times New Roman" w:eastAsia="仿宋_GB2312"/>
                <w:sz w:val="24"/>
                <w:szCs w:val="24"/>
                <w:lang w:bidi="ar"/>
              </w:rPr>
              <w:t>研发投入占地区生产总值比重（</w:t>
            </w:r>
            <w:r>
              <w:rPr>
                <w:rStyle w:val="18"/>
                <w:rFonts w:hint="eastAsia" w:ascii="仿宋_GB2312" w:hAnsi="Times New Roman" w:cs="Times New Roman"/>
                <w:sz w:val="24"/>
                <w:szCs w:val="24"/>
                <w:lang w:bidi="ar"/>
              </w:rPr>
              <w:t>%</w:t>
            </w:r>
            <w:r>
              <w:rPr>
                <w:rStyle w:val="17"/>
                <w:rFonts w:hint="default" w:ascii="仿宋_GB2312" w:hAnsi="Times New Roman" w:eastAsia="仿宋_GB2312"/>
                <w:sz w:val="24"/>
                <w:szCs w:val="24"/>
                <w:lang w:bidi="ar"/>
              </w:rPr>
              <w:t>）</w:t>
            </w:r>
          </w:p>
        </w:tc>
        <w:tc>
          <w:tcPr>
            <w:tcW w:w="556"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default" w:ascii="仿宋_GB2312" w:eastAsia="仿宋_GB2312"/>
                <w:color w:val="000000"/>
                <w:sz w:val="24"/>
                <w:szCs w:val="24"/>
                <w:lang w:val="en-US" w:eastAsia="zh-CN"/>
              </w:rPr>
            </w:pPr>
            <w:r>
              <w:rPr>
                <w:rFonts w:hint="eastAsia" w:ascii="仿宋_GB2312"/>
                <w:color w:val="000000"/>
                <w:sz w:val="24"/>
                <w:szCs w:val="24"/>
                <w:lang w:val="en-US" w:eastAsia="zh-CN"/>
              </w:rPr>
              <w:t>1.0</w:t>
            </w:r>
          </w:p>
        </w:tc>
        <w:tc>
          <w:tcPr>
            <w:tcW w:w="63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default" w:ascii="仿宋_GB2312" w:eastAsia="仿宋_GB2312"/>
                <w:color w:val="000000"/>
                <w:sz w:val="24"/>
                <w:szCs w:val="24"/>
                <w:lang w:val="en-US" w:eastAsia="zh-CN"/>
              </w:rPr>
            </w:pPr>
            <w:r>
              <w:rPr>
                <w:rFonts w:hint="eastAsia" w:ascii="仿宋_GB2312"/>
                <w:color w:val="000000"/>
                <w:sz w:val="24"/>
                <w:szCs w:val="24"/>
                <w:lang w:val="en-US" w:eastAsia="zh-CN"/>
              </w:rPr>
              <w:t>1.3</w:t>
            </w:r>
            <w:r>
              <w:rPr>
                <w:rFonts w:hint="eastAsia" w:ascii="仿宋_GB2312"/>
                <w:color w:val="000000"/>
                <w:sz w:val="32"/>
                <w:szCs w:val="32"/>
                <w:lang w:val="en-US" w:eastAsia="zh-CN"/>
              </w:rPr>
              <w:t>～</w:t>
            </w:r>
            <w:r>
              <w:rPr>
                <w:rFonts w:hint="eastAsia" w:ascii="仿宋_GB2312"/>
                <w:color w:val="000000"/>
                <w:sz w:val="24"/>
                <w:szCs w:val="24"/>
                <w:lang w:val="en-US" w:eastAsia="zh-CN"/>
              </w:rPr>
              <w:t>1.5</w:t>
            </w:r>
          </w:p>
        </w:tc>
        <w:tc>
          <w:tcPr>
            <w:tcW w:w="67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default" w:ascii="仿宋_GB2312" w:eastAsia="仿宋_GB2312"/>
                <w:color w:val="000000"/>
                <w:sz w:val="24"/>
                <w:szCs w:val="24"/>
                <w:lang w:val="en-US" w:eastAsia="zh-CN"/>
              </w:rPr>
            </w:pPr>
            <w:r>
              <w:rPr>
                <w:rFonts w:hint="eastAsia" w:ascii="仿宋_GB2312"/>
                <w:color w:val="000000"/>
                <w:sz w:val="24"/>
                <w:szCs w:val="24"/>
                <w:lang w:val="en-US" w:eastAsia="zh-CN"/>
              </w:rPr>
              <w:t>6.7</w:t>
            </w:r>
            <w:r>
              <w:rPr>
                <w:rFonts w:hint="eastAsia" w:ascii="仿宋_GB2312"/>
                <w:color w:val="000000"/>
                <w:sz w:val="32"/>
                <w:szCs w:val="32"/>
                <w:lang w:val="en-US" w:eastAsia="zh-CN"/>
              </w:rPr>
              <w:t>～</w:t>
            </w:r>
            <w:r>
              <w:rPr>
                <w:rFonts w:hint="eastAsia" w:ascii="仿宋_GB2312"/>
                <w:color w:val="000000"/>
                <w:sz w:val="24"/>
                <w:szCs w:val="24"/>
                <w:lang w:val="en-US" w:eastAsia="zh-CN"/>
              </w:rPr>
              <w:t>8.5</w:t>
            </w:r>
          </w:p>
        </w:tc>
      </w:tr>
      <w:tr>
        <w:tblPrEx>
          <w:tblCellMar>
            <w:top w:w="15" w:type="dxa"/>
            <w:left w:w="15" w:type="dxa"/>
            <w:bottom w:w="15" w:type="dxa"/>
            <w:right w:w="15" w:type="dxa"/>
          </w:tblCellMar>
        </w:tblPrEx>
        <w:trPr>
          <w:trHeight w:val="624" w:hRule="exact"/>
        </w:trPr>
        <w:tc>
          <w:tcPr>
            <w:tcW w:w="31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center"/>
              <w:rPr>
                <w:rFonts w:ascii="仿宋_GB2312"/>
                <w:color w:val="000000"/>
                <w:sz w:val="24"/>
                <w:szCs w:val="24"/>
              </w:rPr>
            </w:pPr>
            <w:r>
              <w:rPr>
                <w:rStyle w:val="21"/>
                <w:rFonts w:hint="eastAsia" w:ascii="仿宋_GB2312" w:hAnsi="Times New Roman"/>
                <w:sz w:val="24"/>
                <w:szCs w:val="24"/>
                <w:lang w:bidi="ar"/>
              </w:rPr>
              <w:t>R&amp;D</w:t>
            </w:r>
            <w:r>
              <w:rPr>
                <w:rStyle w:val="20"/>
                <w:rFonts w:hint="default" w:ascii="仿宋_GB2312" w:eastAsia="仿宋_GB2312"/>
                <w:sz w:val="24"/>
                <w:szCs w:val="24"/>
                <w:lang w:bidi="ar"/>
              </w:rPr>
              <w:t>人员数（人）</w:t>
            </w:r>
          </w:p>
        </w:tc>
        <w:tc>
          <w:tcPr>
            <w:tcW w:w="556"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default" w:ascii="仿宋_GB2312" w:eastAsia="仿宋_GB2312"/>
                <w:color w:val="000000"/>
                <w:sz w:val="24"/>
                <w:szCs w:val="24"/>
                <w:lang w:val="en-US" w:eastAsia="zh-CN"/>
              </w:rPr>
            </w:pPr>
            <w:r>
              <w:rPr>
                <w:rFonts w:hint="eastAsia" w:ascii="仿宋_GB2312"/>
                <w:color w:val="000000"/>
                <w:sz w:val="24"/>
                <w:szCs w:val="24"/>
                <w:lang w:val="en-US" w:eastAsia="zh-CN"/>
              </w:rPr>
              <w:t>170</w:t>
            </w:r>
          </w:p>
        </w:tc>
        <w:tc>
          <w:tcPr>
            <w:tcW w:w="63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default" w:ascii="仿宋_GB2312" w:eastAsia="仿宋_GB2312"/>
                <w:color w:val="000000"/>
                <w:sz w:val="24"/>
                <w:szCs w:val="24"/>
                <w:lang w:val="en-US" w:eastAsia="zh-CN"/>
              </w:rPr>
            </w:pPr>
            <w:r>
              <w:rPr>
                <w:rFonts w:hint="eastAsia" w:ascii="仿宋_GB2312"/>
                <w:color w:val="000000"/>
                <w:sz w:val="24"/>
                <w:szCs w:val="24"/>
                <w:lang w:val="en-US" w:eastAsia="zh-CN"/>
              </w:rPr>
              <w:t>250</w:t>
            </w:r>
          </w:p>
        </w:tc>
        <w:tc>
          <w:tcPr>
            <w:tcW w:w="67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default" w:ascii="仿宋_GB2312" w:eastAsia="仿宋_GB2312"/>
                <w:color w:val="000000"/>
                <w:sz w:val="24"/>
                <w:szCs w:val="24"/>
                <w:lang w:val="en-US" w:eastAsia="zh-CN"/>
              </w:rPr>
            </w:pPr>
            <w:r>
              <w:rPr>
                <w:rFonts w:hint="eastAsia" w:ascii="仿宋_GB2312"/>
                <w:color w:val="000000"/>
                <w:sz w:val="24"/>
                <w:szCs w:val="24"/>
                <w:lang w:val="en-US" w:eastAsia="zh-CN"/>
              </w:rPr>
              <w:t>8.0</w:t>
            </w:r>
          </w:p>
        </w:tc>
      </w:tr>
      <w:tr>
        <w:tblPrEx>
          <w:tblCellMar>
            <w:top w:w="15" w:type="dxa"/>
            <w:left w:w="15" w:type="dxa"/>
            <w:bottom w:w="15" w:type="dxa"/>
            <w:right w:w="15" w:type="dxa"/>
          </w:tblCellMar>
        </w:tblPrEx>
        <w:trPr>
          <w:trHeight w:val="624" w:hRule="exact"/>
        </w:trPr>
        <w:tc>
          <w:tcPr>
            <w:tcW w:w="31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center"/>
              <w:rPr>
                <w:rFonts w:ascii="仿宋_GB2312"/>
                <w:color w:val="auto"/>
                <w:sz w:val="24"/>
                <w:szCs w:val="24"/>
              </w:rPr>
            </w:pPr>
            <w:r>
              <w:rPr>
                <w:rFonts w:hint="eastAsia" w:ascii="仿宋_GB2312"/>
                <w:color w:val="auto"/>
                <w:kern w:val="0"/>
                <w:sz w:val="24"/>
                <w:szCs w:val="24"/>
                <w:lang w:bidi="ar"/>
              </w:rPr>
              <w:t>专利</w:t>
            </w:r>
            <w:r>
              <w:rPr>
                <w:rFonts w:hint="eastAsia" w:ascii="仿宋_GB2312"/>
                <w:color w:val="auto"/>
                <w:kern w:val="0"/>
                <w:sz w:val="24"/>
                <w:szCs w:val="24"/>
                <w:lang w:eastAsia="zh-CN" w:bidi="ar"/>
              </w:rPr>
              <w:t>申请</w:t>
            </w:r>
            <w:r>
              <w:rPr>
                <w:rFonts w:hint="eastAsia" w:ascii="仿宋_GB2312"/>
                <w:color w:val="auto"/>
                <w:kern w:val="0"/>
                <w:sz w:val="24"/>
                <w:szCs w:val="24"/>
                <w:lang w:bidi="ar"/>
              </w:rPr>
              <w:t>量（件）</w:t>
            </w:r>
          </w:p>
        </w:tc>
        <w:tc>
          <w:tcPr>
            <w:tcW w:w="556"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212</w:t>
            </w:r>
          </w:p>
        </w:tc>
        <w:tc>
          <w:tcPr>
            <w:tcW w:w="63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312</w:t>
            </w:r>
          </w:p>
        </w:tc>
        <w:tc>
          <w:tcPr>
            <w:tcW w:w="67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9.4</w:t>
            </w:r>
          </w:p>
        </w:tc>
      </w:tr>
      <w:tr>
        <w:tblPrEx>
          <w:tblCellMar>
            <w:top w:w="15" w:type="dxa"/>
            <w:left w:w="15" w:type="dxa"/>
            <w:bottom w:w="15" w:type="dxa"/>
            <w:right w:w="15" w:type="dxa"/>
          </w:tblCellMar>
        </w:tblPrEx>
        <w:trPr>
          <w:trHeight w:val="624" w:hRule="exact"/>
        </w:trPr>
        <w:tc>
          <w:tcPr>
            <w:tcW w:w="31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center"/>
              <w:rPr>
                <w:rFonts w:hint="eastAsia" w:ascii="仿宋_GB2312" w:eastAsia="仿宋_GB2312"/>
                <w:color w:val="auto"/>
                <w:kern w:val="0"/>
                <w:sz w:val="24"/>
                <w:szCs w:val="24"/>
                <w:lang w:eastAsia="zh-CN" w:bidi="ar"/>
              </w:rPr>
            </w:pPr>
            <w:r>
              <w:rPr>
                <w:rFonts w:hint="eastAsia" w:ascii="仿宋_GB2312"/>
                <w:color w:val="auto"/>
                <w:kern w:val="0"/>
                <w:sz w:val="24"/>
                <w:szCs w:val="24"/>
                <w:lang w:eastAsia="zh-CN" w:bidi="ar"/>
              </w:rPr>
              <w:t>发明专利申请量（件）</w:t>
            </w:r>
          </w:p>
        </w:tc>
        <w:tc>
          <w:tcPr>
            <w:tcW w:w="556"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31</w:t>
            </w:r>
          </w:p>
        </w:tc>
        <w:tc>
          <w:tcPr>
            <w:tcW w:w="63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50</w:t>
            </w:r>
          </w:p>
        </w:tc>
        <w:tc>
          <w:tcPr>
            <w:tcW w:w="67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6.1</w:t>
            </w:r>
          </w:p>
        </w:tc>
      </w:tr>
      <w:tr>
        <w:tblPrEx>
          <w:tblCellMar>
            <w:top w:w="15" w:type="dxa"/>
            <w:left w:w="15" w:type="dxa"/>
            <w:bottom w:w="15" w:type="dxa"/>
            <w:right w:w="15" w:type="dxa"/>
          </w:tblCellMar>
        </w:tblPrEx>
        <w:trPr>
          <w:trHeight w:val="624" w:hRule="exact"/>
        </w:trPr>
        <w:tc>
          <w:tcPr>
            <w:tcW w:w="31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center"/>
              <w:rPr>
                <w:rFonts w:ascii="仿宋_GB2312"/>
                <w:color w:val="auto"/>
                <w:kern w:val="0"/>
                <w:sz w:val="24"/>
                <w:szCs w:val="24"/>
                <w:lang w:bidi="ar"/>
              </w:rPr>
            </w:pPr>
            <w:r>
              <w:rPr>
                <w:rFonts w:hint="eastAsia" w:ascii="仿宋_GB2312"/>
                <w:color w:val="auto"/>
                <w:kern w:val="0"/>
                <w:sz w:val="24"/>
                <w:szCs w:val="24"/>
                <w:lang w:eastAsia="zh-CN" w:bidi="ar"/>
              </w:rPr>
              <w:t>工程技术研究中心</w:t>
            </w:r>
            <w:r>
              <w:rPr>
                <w:rFonts w:hint="eastAsia" w:ascii="仿宋_GB2312"/>
                <w:color w:val="auto"/>
                <w:kern w:val="0"/>
                <w:sz w:val="24"/>
                <w:szCs w:val="24"/>
                <w:lang w:bidi="ar"/>
              </w:rPr>
              <w:t>（家）</w:t>
            </w:r>
          </w:p>
        </w:tc>
        <w:tc>
          <w:tcPr>
            <w:tcW w:w="556"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11</w:t>
            </w:r>
          </w:p>
        </w:tc>
        <w:tc>
          <w:tcPr>
            <w:tcW w:w="63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21</w:t>
            </w:r>
          </w:p>
        </w:tc>
        <w:tc>
          <w:tcPr>
            <w:tcW w:w="67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13.8</w:t>
            </w:r>
          </w:p>
        </w:tc>
      </w:tr>
      <w:tr>
        <w:tblPrEx>
          <w:tblCellMar>
            <w:top w:w="15" w:type="dxa"/>
            <w:left w:w="15" w:type="dxa"/>
            <w:bottom w:w="15" w:type="dxa"/>
            <w:right w:w="15" w:type="dxa"/>
          </w:tblCellMar>
        </w:tblPrEx>
        <w:trPr>
          <w:trHeight w:val="624" w:hRule="exact"/>
        </w:trPr>
        <w:tc>
          <w:tcPr>
            <w:tcW w:w="31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center"/>
              <w:rPr>
                <w:rFonts w:ascii="仿宋_GB2312"/>
                <w:color w:val="auto"/>
                <w:sz w:val="24"/>
                <w:szCs w:val="24"/>
              </w:rPr>
            </w:pPr>
            <w:r>
              <w:rPr>
                <w:rFonts w:hint="eastAsia" w:ascii="仿宋_GB2312"/>
                <w:color w:val="auto"/>
                <w:kern w:val="0"/>
                <w:sz w:val="24"/>
                <w:szCs w:val="24"/>
                <w:lang w:bidi="ar"/>
              </w:rPr>
              <w:t>高新技术</w:t>
            </w:r>
            <w:r>
              <w:rPr>
                <w:rFonts w:hint="eastAsia" w:ascii="仿宋_GB2312"/>
                <w:color w:val="auto"/>
                <w:kern w:val="0"/>
                <w:sz w:val="24"/>
                <w:szCs w:val="24"/>
                <w:lang w:eastAsia="zh-CN" w:bidi="ar"/>
              </w:rPr>
              <w:t>企业产值</w:t>
            </w:r>
            <w:r>
              <w:rPr>
                <w:rFonts w:hint="eastAsia" w:ascii="仿宋_GB2312"/>
                <w:color w:val="auto"/>
                <w:kern w:val="0"/>
                <w:sz w:val="24"/>
                <w:szCs w:val="24"/>
                <w:lang w:bidi="ar"/>
              </w:rPr>
              <w:t>占规模以上工业</w:t>
            </w:r>
            <w:r>
              <w:rPr>
                <w:rFonts w:hint="eastAsia" w:ascii="仿宋_GB2312"/>
                <w:color w:val="auto"/>
                <w:kern w:val="0"/>
                <w:sz w:val="24"/>
                <w:szCs w:val="24"/>
                <w:lang w:eastAsia="zh-CN" w:bidi="ar"/>
              </w:rPr>
              <w:t>产值</w:t>
            </w:r>
            <w:r>
              <w:rPr>
                <w:rFonts w:hint="eastAsia" w:ascii="仿宋_GB2312"/>
                <w:color w:val="auto"/>
                <w:kern w:val="0"/>
                <w:sz w:val="24"/>
                <w:szCs w:val="24"/>
                <w:lang w:bidi="ar"/>
              </w:rPr>
              <w:t>比重（%）</w:t>
            </w:r>
          </w:p>
        </w:tc>
        <w:tc>
          <w:tcPr>
            <w:tcW w:w="556"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26</w:t>
            </w:r>
          </w:p>
        </w:tc>
        <w:tc>
          <w:tcPr>
            <w:tcW w:w="63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35</w:t>
            </w:r>
          </w:p>
        </w:tc>
        <w:tc>
          <w:tcPr>
            <w:tcW w:w="679"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0" w:leftChars="0" w:firstLine="0" w:firstLineChars="0"/>
              <w:jc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6.3</w:t>
            </w:r>
          </w:p>
        </w:tc>
      </w:tr>
      <w:tr>
        <w:tblPrEx>
          <w:tblCellMar>
            <w:top w:w="15" w:type="dxa"/>
            <w:left w:w="15" w:type="dxa"/>
            <w:bottom w:w="15" w:type="dxa"/>
            <w:right w:w="15" w:type="dxa"/>
          </w:tblCellMar>
        </w:tblPrEx>
        <w:trPr>
          <w:trHeight w:val="624" w:hRule="exact"/>
        </w:trPr>
        <w:tc>
          <w:tcPr>
            <w:tcW w:w="31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center"/>
              <w:rPr>
                <w:rFonts w:ascii="仿宋_GB2312"/>
                <w:color w:val="000000"/>
                <w:sz w:val="24"/>
                <w:szCs w:val="24"/>
              </w:rPr>
            </w:pPr>
            <w:r>
              <w:rPr>
                <w:rFonts w:hint="eastAsia" w:ascii="仿宋_GB2312"/>
                <w:color w:val="000000"/>
                <w:kern w:val="0"/>
                <w:sz w:val="24"/>
                <w:szCs w:val="24"/>
                <w:lang w:bidi="ar"/>
              </w:rPr>
              <w:t>高新技术企业数（家）</w:t>
            </w:r>
          </w:p>
        </w:tc>
        <w:tc>
          <w:tcPr>
            <w:tcW w:w="556"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eastAsia" w:ascii="仿宋_GB2312" w:eastAsia="仿宋_GB2312"/>
                <w:color w:val="000000"/>
                <w:sz w:val="24"/>
                <w:szCs w:val="24"/>
                <w:lang w:val="en-US" w:eastAsia="zh-CN"/>
              </w:rPr>
            </w:pPr>
            <w:r>
              <w:rPr>
                <w:rFonts w:hint="eastAsia" w:ascii="仿宋_GB2312"/>
                <w:color w:val="000000"/>
                <w:sz w:val="24"/>
                <w:szCs w:val="24"/>
                <w:lang w:val="en-US" w:eastAsia="zh-CN"/>
              </w:rPr>
              <w:t>8</w:t>
            </w:r>
          </w:p>
        </w:tc>
        <w:tc>
          <w:tcPr>
            <w:tcW w:w="63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default" w:ascii="仿宋_GB2312" w:eastAsia="仿宋_GB2312"/>
                <w:color w:val="000000"/>
                <w:sz w:val="24"/>
                <w:szCs w:val="24"/>
                <w:lang w:val="en-US" w:eastAsia="zh-CN"/>
              </w:rPr>
            </w:pPr>
            <w:r>
              <w:rPr>
                <w:rFonts w:hint="eastAsia" w:ascii="仿宋_GB2312"/>
                <w:color w:val="000000"/>
                <w:sz w:val="24"/>
                <w:szCs w:val="24"/>
                <w:lang w:val="en-US" w:eastAsia="zh-CN"/>
              </w:rPr>
              <w:t>18</w:t>
            </w:r>
          </w:p>
        </w:tc>
        <w:tc>
          <w:tcPr>
            <w:tcW w:w="67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default" w:ascii="仿宋_GB2312" w:eastAsia="仿宋_GB2312"/>
                <w:color w:val="000000"/>
                <w:sz w:val="24"/>
                <w:szCs w:val="24"/>
                <w:lang w:val="en-US" w:eastAsia="zh-CN"/>
              </w:rPr>
            </w:pPr>
            <w:r>
              <w:rPr>
                <w:rFonts w:hint="eastAsia" w:ascii="仿宋_GB2312"/>
                <w:color w:val="000000"/>
                <w:sz w:val="24"/>
                <w:szCs w:val="24"/>
                <w:lang w:val="en-US" w:eastAsia="zh-CN"/>
              </w:rPr>
              <w:t>17.6</w:t>
            </w:r>
          </w:p>
        </w:tc>
      </w:tr>
      <w:tr>
        <w:tblPrEx>
          <w:tblCellMar>
            <w:top w:w="15" w:type="dxa"/>
            <w:left w:w="15" w:type="dxa"/>
            <w:bottom w:w="15" w:type="dxa"/>
            <w:right w:w="15" w:type="dxa"/>
          </w:tblCellMar>
        </w:tblPrEx>
        <w:trPr>
          <w:trHeight w:val="624" w:hRule="exact"/>
        </w:trPr>
        <w:tc>
          <w:tcPr>
            <w:tcW w:w="31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center"/>
              <w:rPr>
                <w:rFonts w:ascii="仿宋_GB2312"/>
                <w:color w:val="000000"/>
                <w:sz w:val="24"/>
                <w:szCs w:val="24"/>
              </w:rPr>
            </w:pPr>
            <w:r>
              <w:rPr>
                <w:rFonts w:hint="eastAsia" w:ascii="仿宋_GB2312"/>
                <w:color w:val="000000"/>
                <w:kern w:val="0"/>
                <w:sz w:val="24"/>
                <w:szCs w:val="24"/>
                <w:lang w:bidi="ar"/>
              </w:rPr>
              <w:t>科技型中小企业数（家）</w:t>
            </w:r>
          </w:p>
        </w:tc>
        <w:tc>
          <w:tcPr>
            <w:tcW w:w="556"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eastAsia" w:ascii="仿宋_GB2312" w:eastAsia="仿宋_GB2312"/>
                <w:color w:val="000000"/>
                <w:sz w:val="24"/>
                <w:szCs w:val="24"/>
                <w:lang w:val="en-US" w:eastAsia="zh-CN"/>
              </w:rPr>
            </w:pPr>
            <w:r>
              <w:rPr>
                <w:rFonts w:hint="eastAsia" w:ascii="仿宋_GB2312"/>
                <w:color w:val="000000"/>
                <w:sz w:val="24"/>
                <w:szCs w:val="24"/>
                <w:lang w:val="en-US" w:eastAsia="zh-CN"/>
              </w:rPr>
              <w:t>8</w:t>
            </w:r>
          </w:p>
        </w:tc>
        <w:tc>
          <w:tcPr>
            <w:tcW w:w="63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default" w:ascii="仿宋_GB2312" w:eastAsia="仿宋_GB2312"/>
                <w:color w:val="000000"/>
                <w:sz w:val="24"/>
                <w:szCs w:val="24"/>
                <w:lang w:val="en-US" w:eastAsia="zh-CN"/>
              </w:rPr>
            </w:pPr>
            <w:r>
              <w:rPr>
                <w:rFonts w:hint="eastAsia" w:ascii="仿宋_GB2312"/>
                <w:color w:val="000000"/>
                <w:sz w:val="24"/>
                <w:szCs w:val="24"/>
                <w:lang w:val="en-US" w:eastAsia="zh-CN"/>
              </w:rPr>
              <w:t>18</w:t>
            </w:r>
          </w:p>
        </w:tc>
        <w:tc>
          <w:tcPr>
            <w:tcW w:w="67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default" w:ascii="仿宋_GB2312" w:eastAsia="仿宋_GB2312"/>
                <w:color w:val="000000"/>
                <w:sz w:val="24"/>
                <w:szCs w:val="24"/>
                <w:lang w:val="en-US" w:eastAsia="zh-CN"/>
              </w:rPr>
            </w:pPr>
            <w:r>
              <w:rPr>
                <w:rFonts w:hint="eastAsia" w:ascii="仿宋_GB2312"/>
                <w:color w:val="000000"/>
                <w:sz w:val="24"/>
                <w:szCs w:val="24"/>
                <w:lang w:val="en-US" w:eastAsia="zh-CN"/>
              </w:rPr>
              <w:t>17.6</w:t>
            </w:r>
          </w:p>
        </w:tc>
      </w:tr>
    </w:tbl>
    <w:p>
      <w:pPr>
        <w:keepNext w:val="0"/>
        <w:keepLines w:val="0"/>
        <w:pageBreakBefore w:val="0"/>
        <w:widowControl w:val="0"/>
        <w:kinsoku/>
        <w:wordWrap/>
        <w:overflowPunct/>
        <w:topLinePunct w:val="0"/>
        <w:autoSpaceDE/>
        <w:autoSpaceDN/>
        <w:bidi w:val="0"/>
        <w:adjustRightInd/>
        <w:snapToGrid/>
        <w:spacing w:before="319" w:beforeLines="50" w:line="324" w:lineRule="auto"/>
        <w:ind w:firstLine="630" w:firstLineChars="200"/>
        <w:textAlignment w:val="auto"/>
        <w:outlineLvl w:val="0"/>
        <w:rPr>
          <w:rFonts w:ascii="黑体" w:hAnsi="黑体" w:eastAsia="黑体" w:cs="黑体"/>
          <w:b/>
          <w:bCs/>
          <w:color w:val="000000"/>
          <w:szCs w:val="32"/>
        </w:rPr>
      </w:pPr>
      <w:bookmarkStart w:id="65" w:name="_Toc465859983"/>
      <w:bookmarkStart w:id="66" w:name="_Toc165"/>
      <w:r>
        <w:rPr>
          <w:rFonts w:hint="eastAsia" w:ascii="黑体" w:hAnsi="黑体" w:eastAsia="黑体" w:cs="黑体"/>
          <w:color w:val="000000"/>
          <w:szCs w:val="32"/>
        </w:rPr>
        <w:t>三、重点任务</w:t>
      </w:r>
      <w:bookmarkEnd w:id="65"/>
      <w:bookmarkEnd w:id="66"/>
    </w:p>
    <w:p>
      <w:pPr>
        <w:numPr>
          <w:ilvl w:val="0"/>
          <w:numId w:val="4"/>
        </w:numPr>
        <w:adjustRightInd w:val="0"/>
        <w:spacing w:line="324" w:lineRule="auto"/>
        <w:outlineLvl w:val="1"/>
        <w:rPr>
          <w:rFonts w:ascii="楷体_GB2312" w:eastAsia="楷体_GB2312"/>
          <w:b/>
          <w:bCs/>
          <w:color w:val="000000"/>
          <w:szCs w:val="32"/>
        </w:rPr>
      </w:pPr>
      <w:bookmarkStart w:id="67" w:name="_Toc29731"/>
      <w:r>
        <w:rPr>
          <w:rFonts w:hint="eastAsia" w:ascii="楷体_GB2312" w:eastAsia="楷体_GB2312"/>
          <w:b/>
          <w:bCs/>
          <w:color w:val="000000"/>
          <w:szCs w:val="32"/>
        </w:rPr>
        <w:t>全面推动科技创新产业</w:t>
      </w:r>
      <w:bookmarkEnd w:id="67"/>
    </w:p>
    <w:p>
      <w:pPr>
        <w:bidi w:val="0"/>
      </w:pPr>
      <w:r>
        <w:rPr>
          <w:rFonts w:hint="eastAsia"/>
          <w:b/>
          <w:bCs/>
        </w:rPr>
        <w:t>发展高新材料产业。</w:t>
      </w:r>
      <w:r>
        <w:rPr>
          <w:rFonts w:hint="eastAsia"/>
        </w:rPr>
        <w:t>协助新丰广晟稀土开发有限公司等企业做好稀土采矿权证的申办工作，以回龙工业园为载体，重点推进中色南方（新丰）稀土分离厂和稀土特色产业园区规划建设，主动对接国家和广东省稀土产业发展规划，争取将稀土特色产业园列入重点稀土规划区和稀土加工基地。适度引进稀土上下游产业，重点发展高性能碳纤维、芳纶纤维等复合材料，高性能永磁、高效发光、高端催化等稀土功能材料，高性能陶瓷材料、宽禁带半导体材料，打造全省重要的新材料产业基地。</w:t>
      </w:r>
    </w:p>
    <w:p>
      <w:pPr>
        <w:bidi w:val="0"/>
      </w:pPr>
      <w:r>
        <w:rPr>
          <w:rFonts w:hint="eastAsia"/>
          <w:b/>
          <w:bCs/>
        </w:rPr>
        <w:t>发展先进装备制造业。</w:t>
      </w:r>
      <w:r>
        <w:rPr>
          <w:rFonts w:hint="eastAsia"/>
        </w:rPr>
        <w:t>加大研发投入，加强核心关键技术攻关，提高企业的产品自主研发能力。实施主动融入粤港澳大湾区战略，加强与珠三角企业的产业合作，深度融入珠江东岸先进装备制造产业分工体系。支持发展设备、机械等整机及成套设备生产，拉长补齐做强产业链，提升关键零部件质量水平。发挥杰力电工、永强五金等龙头</w:t>
      </w:r>
      <w:r>
        <w:rPr>
          <w:rFonts w:hint="eastAsia"/>
          <w:lang w:eastAsia="zh-CN"/>
        </w:rPr>
        <w:t>企业</w:t>
      </w:r>
      <w:r>
        <w:rPr>
          <w:rFonts w:hint="eastAsia"/>
        </w:rPr>
        <w:t>的带动作用，逐步形成特色鲜明、产业集聚、高增长、高质量的新兴产业集群。</w:t>
      </w:r>
    </w:p>
    <w:p>
      <w:pPr>
        <w:bidi w:val="0"/>
      </w:pPr>
      <w:r>
        <w:rPr>
          <w:rFonts w:hint="eastAsia"/>
          <w:b/>
          <w:bCs/>
        </w:rPr>
        <w:t>发展新能源产业。</w:t>
      </w:r>
      <w:r>
        <w:rPr>
          <w:rFonts w:hint="eastAsia"/>
        </w:rPr>
        <w:t>在满足生态严控区和生态红线划定要求基础上，促进华润风力发电二、三期项目、韶能生物质发电三期项目建成投产；依托投资集团培育纤维环保餐具等清洁能源产业，形成上下游产业延伸。</w:t>
      </w:r>
    </w:p>
    <w:p>
      <w:pPr>
        <w:numPr>
          <w:ilvl w:val="0"/>
          <w:numId w:val="4"/>
        </w:numPr>
        <w:adjustRightInd w:val="0"/>
        <w:spacing w:line="324" w:lineRule="auto"/>
        <w:ind w:firstLine="870"/>
        <w:outlineLvl w:val="1"/>
        <w:rPr>
          <w:rFonts w:hint="eastAsia" w:ascii="楷体_GB2312" w:hAnsi="Times New Roman" w:eastAsia="楷体_GB2312" w:cs="Times New Roman"/>
          <w:b/>
          <w:bCs/>
          <w:color w:val="000000"/>
          <w:szCs w:val="32"/>
        </w:rPr>
      </w:pPr>
      <w:bookmarkStart w:id="68" w:name="_Toc465859987"/>
      <w:bookmarkStart w:id="69" w:name="_Toc23638"/>
      <w:bookmarkStart w:id="70" w:name="_Toc465859985"/>
      <w:r>
        <w:rPr>
          <w:rFonts w:hint="eastAsia" w:ascii="楷体_GB2312" w:hAnsi="Times New Roman" w:eastAsia="楷体_GB2312" w:cs="Times New Roman"/>
          <w:b/>
          <w:bCs/>
          <w:color w:val="000000"/>
          <w:szCs w:val="32"/>
        </w:rPr>
        <w:t>大力激发</w:t>
      </w:r>
      <w:bookmarkEnd w:id="68"/>
      <w:r>
        <w:rPr>
          <w:rFonts w:hint="eastAsia" w:ascii="楷体_GB2312" w:hAnsi="Times New Roman" w:eastAsia="楷体_GB2312" w:cs="Times New Roman"/>
          <w:b/>
          <w:bCs/>
          <w:color w:val="000000"/>
          <w:szCs w:val="32"/>
        </w:rPr>
        <w:t>农村科技活力</w:t>
      </w:r>
      <w:bookmarkEnd w:id="69"/>
    </w:p>
    <w:p>
      <w:pPr>
        <w:bidi w:val="0"/>
      </w:pPr>
      <w:r>
        <w:rPr>
          <w:rFonts w:hint="eastAsia"/>
          <w:b/>
          <w:bCs/>
        </w:rPr>
        <w:t>加快农业科技创新。</w:t>
      </w:r>
      <w:r>
        <w:rPr>
          <w:rFonts w:hint="eastAsia"/>
        </w:rPr>
        <w:t>农业高新技术和</w:t>
      </w:r>
      <w:r>
        <w:fldChar w:fldCharType="begin"/>
      </w:r>
      <w:r>
        <w:instrText xml:space="preserve"> HYPERLINK "https://baike.baidu.com/item/%E5%9F%BA%E7%A1%80%E7%A0%94%E7%A9%B6" \t "https://baike.baidu.com/item/%E5%86%9C%E4%B8%9A%E7%A7%91%E6%8A%80%E5%88%9B%E6%96%B0/_blank" </w:instrText>
      </w:r>
      <w:r>
        <w:fldChar w:fldCharType="separate"/>
      </w:r>
      <w:r>
        <w:rPr>
          <w:rFonts w:hint="eastAsia"/>
        </w:rPr>
        <w:t>基础研究</w:t>
      </w:r>
      <w:r>
        <w:rPr>
          <w:rFonts w:hint="eastAsia"/>
        </w:rPr>
        <w:fldChar w:fldCharType="end"/>
      </w:r>
      <w:r>
        <w:rPr>
          <w:rFonts w:hint="eastAsia"/>
        </w:rPr>
        <w:t>以</w:t>
      </w:r>
      <w:r>
        <w:fldChar w:fldCharType="begin"/>
      </w:r>
      <w:r>
        <w:instrText xml:space="preserve"> HYPERLINK "https://baike.baidu.com/item/%E7%94%9F%E7%89%A9%E6%8A%80%E6%9C%AF" \t "https://baike.baidu.com/item/%E5%86%9C%E4%B8%9A%E7%A7%91%E6%8A%80%E5%88%9B%E6%96%B0/_blank" </w:instrText>
      </w:r>
      <w:r>
        <w:fldChar w:fldCharType="separate"/>
      </w:r>
      <w:r>
        <w:rPr>
          <w:rFonts w:hint="eastAsia"/>
        </w:rPr>
        <w:t>生物技术</w:t>
      </w:r>
      <w:r>
        <w:rPr>
          <w:rFonts w:hint="eastAsia"/>
        </w:rPr>
        <w:fldChar w:fldCharType="end"/>
      </w:r>
      <w:r>
        <w:rPr>
          <w:rFonts w:hint="eastAsia"/>
        </w:rPr>
        <w:t>和</w:t>
      </w:r>
      <w:r>
        <w:fldChar w:fldCharType="begin"/>
      </w:r>
      <w:r>
        <w:instrText xml:space="preserve"> HYPERLINK "https://baike.baidu.com/item/%E4%BF%A1%E6%81%AF%E6%8A%80%E6%9C%AF" \t "https://baike.baidu.com/item/%E5%86%9C%E4%B8%9A%E7%A7%91%E6%8A%80%E5%88%9B%E6%96%B0/_blank" </w:instrText>
      </w:r>
      <w:r>
        <w:fldChar w:fldCharType="separate"/>
      </w:r>
      <w:r>
        <w:rPr>
          <w:rFonts w:hint="eastAsia"/>
        </w:rPr>
        <w:t>信息技术</w:t>
      </w:r>
      <w:r>
        <w:rPr>
          <w:rFonts w:hint="eastAsia"/>
        </w:rPr>
        <w:fldChar w:fldCharType="end"/>
      </w:r>
      <w:r>
        <w:rPr>
          <w:rFonts w:hint="eastAsia"/>
        </w:rPr>
        <w:t>为先导的战略高新技术已经全面引领现代农业的发展，并成为最具竞争力的新型产业领域。生物技术和信息技术使</w:t>
      </w:r>
      <w:r>
        <w:fldChar w:fldCharType="begin"/>
      </w:r>
      <w:r>
        <w:instrText xml:space="preserve"> HYPERLINK "https://baike.baidu.com/item/%E5%86%9C%E4%B8%9A%E7%94%9F%E4%BA%A7" \t "https://baike.baidu.com/item/%E5%86%9C%E4%B8%9A%E7%A7%91%E6%8A%80%E5%88%9B%E6%96%B0/_blank" </w:instrText>
      </w:r>
      <w:r>
        <w:fldChar w:fldCharType="separate"/>
      </w:r>
      <w:r>
        <w:rPr>
          <w:rFonts w:hint="eastAsia"/>
        </w:rPr>
        <w:t>农业生产</w:t>
      </w:r>
      <w:r>
        <w:rPr>
          <w:rFonts w:hint="eastAsia"/>
        </w:rPr>
        <w:fldChar w:fldCharType="end"/>
      </w:r>
      <w:r>
        <w:rPr>
          <w:rFonts w:hint="eastAsia"/>
        </w:rPr>
        <w:t>兼具智能性和精确性，抢占农业高新技术领域的制高点。</w:t>
      </w:r>
      <w:r>
        <w:t>完善农业科研评价机制，</w:t>
      </w:r>
      <w:r>
        <w:rPr>
          <w:rFonts w:hint="eastAsia"/>
        </w:rPr>
        <w:t>将科研成果应用在农村产业发展上。深化农业科技体制改革，加大政策、投入等支持保障力度，为加快农业科技创新营造良好条件和环境。</w:t>
      </w:r>
    </w:p>
    <w:p>
      <w:pPr>
        <w:bidi w:val="0"/>
      </w:pPr>
      <w:r>
        <w:rPr>
          <w:rFonts w:hint="eastAsia"/>
          <w:b/>
          <w:bCs/>
        </w:rPr>
        <w:t>打造技术创新专业镇。</w:t>
      </w:r>
      <w:r>
        <w:rPr>
          <w:rFonts w:hint="eastAsia"/>
          <w:lang w:eastAsia="zh-CN"/>
        </w:rPr>
        <w:t>牢固</w:t>
      </w:r>
      <w:r>
        <w:rPr>
          <w:rFonts w:hint="eastAsia"/>
        </w:rPr>
        <w:t>树立</w:t>
      </w:r>
      <w:r>
        <w:rPr>
          <w:rFonts w:hint="eastAsia"/>
          <w:lang w:eastAsia="zh-CN"/>
        </w:rPr>
        <w:t>创新、协调、绿色、开放、共享五大发展理念</w:t>
      </w:r>
      <w:r>
        <w:rPr>
          <w:rFonts w:hint="eastAsia"/>
        </w:rPr>
        <w:t>，紧紧围绕区域国民经济和社会发展的总目标，依靠科技进步，推动区域产业结构优化升级，提升特色产业市场竞争力。以专业镇技术创新平台建设为核心，为中小企业提供科技服务和技术支持，延长和完善特色产业链，从总体上提升专业镇的产业技术水平和规模，促进县域经济快速发展和壮大。</w:t>
      </w:r>
    </w:p>
    <w:p>
      <w:pPr>
        <w:numPr>
          <w:ilvl w:val="0"/>
          <w:numId w:val="4"/>
        </w:numPr>
        <w:adjustRightInd w:val="0"/>
        <w:spacing w:line="324" w:lineRule="auto"/>
        <w:ind w:firstLine="870"/>
        <w:outlineLvl w:val="1"/>
        <w:rPr>
          <w:rFonts w:hint="eastAsia" w:ascii="楷体_GB2312" w:hAnsi="Times New Roman" w:eastAsia="楷体_GB2312" w:cs="Times New Roman"/>
          <w:b/>
          <w:bCs/>
          <w:color w:val="000000"/>
          <w:szCs w:val="32"/>
        </w:rPr>
      </w:pPr>
      <w:bookmarkStart w:id="71" w:name="_Toc5673"/>
      <w:r>
        <w:rPr>
          <w:rFonts w:hint="eastAsia" w:ascii="楷体_GB2312" w:hAnsi="Times New Roman" w:eastAsia="楷体_GB2312" w:cs="Times New Roman"/>
          <w:b/>
          <w:bCs/>
          <w:color w:val="000000"/>
          <w:szCs w:val="32"/>
        </w:rPr>
        <w:t>着力筑强</w:t>
      </w:r>
      <w:bookmarkEnd w:id="70"/>
      <w:r>
        <w:rPr>
          <w:rFonts w:hint="eastAsia" w:ascii="楷体_GB2312" w:hAnsi="Times New Roman" w:eastAsia="楷体_GB2312" w:cs="Times New Roman"/>
          <w:b/>
          <w:bCs/>
          <w:color w:val="000000"/>
          <w:szCs w:val="32"/>
        </w:rPr>
        <w:t>创新创业平台</w:t>
      </w:r>
      <w:bookmarkEnd w:id="71"/>
    </w:p>
    <w:p>
      <w:pPr>
        <w:bidi w:val="0"/>
      </w:pPr>
      <w:r>
        <w:rPr>
          <w:rFonts w:hint="eastAsia"/>
          <w:b/>
          <w:bCs/>
        </w:rPr>
        <w:t>强化公共科技服务平台作用。</w:t>
      </w:r>
      <w:r>
        <w:rPr>
          <w:rFonts w:hint="eastAsia"/>
        </w:rPr>
        <w:t>建立青年创新创业基地，构建众创空间、科技企业孵化器、青年创新创业基地等孵化平台，配套完善政策指导、资金申请、技术鉴定、咨询策划、项目顾问等多类创业服务；促进大学生创业带动就业、促进全产业振兴，举办创新创业活动，组织创新创业讲堂，邀请珠三角重点高校、企业导师进行专题培训，举办双创论坛及参加市级、省级、国家级的创新大赛，开展技术沙龙以及座谈会等活动，激发创新创业动力，培养青年科技创业人才和卓越企业家；促进投融资对接，联合创投机构，为有技术有实力的创业公司提供融资计划和资金支持。</w:t>
      </w:r>
    </w:p>
    <w:p>
      <w:pPr>
        <w:numPr>
          <w:ilvl w:val="0"/>
          <w:numId w:val="4"/>
        </w:numPr>
        <w:adjustRightInd w:val="0"/>
        <w:spacing w:line="324" w:lineRule="auto"/>
        <w:ind w:firstLine="870"/>
        <w:outlineLvl w:val="1"/>
        <w:rPr>
          <w:rFonts w:hint="eastAsia" w:ascii="楷体_GB2312" w:hAnsi="Times New Roman" w:eastAsia="楷体_GB2312" w:cs="Times New Roman"/>
          <w:b/>
          <w:bCs/>
          <w:color w:val="000000"/>
          <w:szCs w:val="32"/>
        </w:rPr>
      </w:pPr>
      <w:bookmarkStart w:id="72" w:name="_Toc465859988"/>
      <w:bookmarkStart w:id="73" w:name="_Toc8730"/>
      <w:r>
        <w:rPr>
          <w:rFonts w:hint="eastAsia" w:ascii="楷体_GB2312" w:hAnsi="Times New Roman" w:eastAsia="楷体_GB2312" w:cs="Times New Roman"/>
          <w:b/>
          <w:bCs/>
          <w:color w:val="000000"/>
          <w:szCs w:val="32"/>
        </w:rPr>
        <w:t>加速支持创新人才</w:t>
      </w:r>
      <w:bookmarkEnd w:id="72"/>
      <w:r>
        <w:rPr>
          <w:rFonts w:hint="eastAsia" w:ascii="楷体_GB2312" w:hAnsi="Times New Roman" w:eastAsia="楷体_GB2312" w:cs="Times New Roman"/>
          <w:b/>
          <w:bCs/>
          <w:color w:val="000000"/>
          <w:szCs w:val="32"/>
        </w:rPr>
        <w:t>培养</w:t>
      </w:r>
      <w:bookmarkEnd w:id="73"/>
    </w:p>
    <w:p>
      <w:pPr>
        <w:bidi w:val="0"/>
      </w:pPr>
      <w:bookmarkStart w:id="74" w:name="OLE_LINK44"/>
      <w:bookmarkStart w:id="75" w:name="OLE_LINK43"/>
      <w:r>
        <w:rPr>
          <w:rFonts w:hint="eastAsia"/>
          <w:b/>
          <w:bCs/>
        </w:rPr>
        <w:t>健全科技人才流动和配置机制。</w:t>
      </w:r>
      <w:r>
        <w:rPr>
          <w:rFonts w:hint="eastAsia"/>
        </w:rPr>
        <w:t>在实施创新人才推进计划和相关人才、科技计划中，以高等院校、科研院所和高新技术产业开发区为依托，建设一批创新人才培养示范基地。主要选择若干高等学校和科研院所，构建若干有利于科技人才脱颖而出、健康成长的人才培养区域，为科技人才队伍建设提供有益经验和借鉴。</w:t>
      </w:r>
    </w:p>
    <w:p>
      <w:pPr>
        <w:bidi w:val="0"/>
      </w:pPr>
      <w:r>
        <w:rPr>
          <w:rFonts w:hint="eastAsia"/>
          <w:b/>
          <w:bCs/>
        </w:rPr>
        <w:t>重点扶持科技创新创业人才。</w:t>
      </w:r>
      <w:r>
        <w:rPr>
          <w:rFonts w:hint="eastAsia"/>
        </w:rPr>
        <w:t>注重在科技创新实践中培养和凝聚一流人才，重点扶持拥有核心技术或自主知识产权的优秀科技人才，创办科技型企业。进一步完善相关政策和公共服务体系，优化创业环境，降低创业成本，吸引和支持国内外优秀科技人才创业，加强创业公共服务体系和机制的建设。政府主要通过政策引导和科技型中小企业创新基金资助，鼓励相关机构为创业人才提供技术开发、创业辅导、信息服务和融资支持等定向服务，协助初创企业纾困，提高科技创业成功率。</w:t>
      </w:r>
    </w:p>
    <w:bookmarkEnd w:id="74"/>
    <w:bookmarkEnd w:id="75"/>
    <w:p>
      <w:pPr>
        <w:numPr>
          <w:ilvl w:val="0"/>
          <w:numId w:val="4"/>
        </w:numPr>
        <w:adjustRightInd w:val="0"/>
        <w:spacing w:line="324" w:lineRule="auto"/>
        <w:ind w:firstLine="870"/>
        <w:outlineLvl w:val="1"/>
        <w:rPr>
          <w:rFonts w:hint="eastAsia" w:ascii="楷体_GB2312" w:hAnsi="Times New Roman" w:eastAsia="楷体_GB2312" w:cs="Times New Roman"/>
          <w:b/>
          <w:bCs/>
          <w:color w:val="000000"/>
          <w:szCs w:val="32"/>
        </w:rPr>
      </w:pPr>
      <w:bookmarkStart w:id="76" w:name="_Toc24569"/>
      <w:bookmarkStart w:id="77" w:name="_Toc465859989"/>
      <w:r>
        <w:rPr>
          <w:rFonts w:hint="eastAsia" w:ascii="楷体_GB2312" w:hAnsi="Times New Roman" w:eastAsia="楷体_GB2312" w:cs="Times New Roman"/>
          <w:b/>
          <w:bCs/>
          <w:color w:val="000000"/>
          <w:szCs w:val="32"/>
        </w:rPr>
        <w:t>深入实施知识产权战略</w:t>
      </w:r>
      <w:bookmarkEnd w:id="76"/>
      <w:bookmarkEnd w:id="77"/>
    </w:p>
    <w:p>
      <w:pPr>
        <w:bidi w:val="0"/>
      </w:pPr>
      <w:r>
        <w:rPr>
          <w:rFonts w:hint="eastAsia"/>
          <w:b/>
          <w:bCs/>
        </w:rPr>
        <w:t>加强知识产权的创造与运用。</w:t>
      </w:r>
      <w:r>
        <w:rPr>
          <w:rFonts w:hint="eastAsia"/>
        </w:rPr>
        <w:t>以量质并重、结构优化为目标，优化专利奖励政策，提高企业专利申请质量。“十四五”期间，年均发明专利授权量力争达到</w:t>
      </w:r>
      <w:r>
        <w:rPr>
          <w:rFonts w:hint="eastAsia"/>
          <w:lang w:val="en-US" w:eastAsia="zh-CN"/>
        </w:rPr>
        <w:t>8</w:t>
      </w:r>
      <w:r>
        <w:rPr>
          <w:rFonts w:hint="eastAsia"/>
        </w:rPr>
        <w:t>件，加快企业专利技术产业化应用，鼓励企业将专利技术转化为适应市场需求的技术标准，以专利技术带动产业发展，推进知识产权评议试点，强化经济科技活动的知识产权导向。</w:t>
      </w:r>
    </w:p>
    <w:p>
      <w:pPr>
        <w:bidi w:val="0"/>
      </w:pPr>
      <w:r>
        <w:rPr>
          <w:rFonts w:hint="eastAsia"/>
          <w:b/>
          <w:bCs/>
        </w:rPr>
        <w:t>推进知识产权维权与保护。</w:t>
      </w:r>
      <w:r>
        <w:rPr>
          <w:rFonts w:hint="eastAsia"/>
        </w:rPr>
        <w:t>加强知识产权行政执法力度，探索开展专利、商标、版权“三合一”联合执法。完善行政执法与司法保护衔接机制，全面开展知识产权纠纷诉讼调查工作。深化知识产权维权建设，引导行业协会等第三方机构参与知识产权纠纷化解工作，探索知识产权纠纷调解第三方平台试点，推进知识产权纠纷多元化调解机制建设。开展知识产权专项执法行动，加快知识产权社会信用体系建设，将知识产权侵权等行为纳入诚信体系。</w:t>
      </w:r>
    </w:p>
    <w:p>
      <w:pPr>
        <w:bidi w:val="0"/>
      </w:pPr>
      <w:r>
        <w:rPr>
          <w:rFonts w:hint="eastAsia"/>
          <w:b/>
          <w:bCs/>
        </w:rPr>
        <w:t>优化知识产权管理与服务。</w:t>
      </w:r>
      <w:r>
        <w:rPr>
          <w:rFonts w:hint="eastAsia"/>
        </w:rPr>
        <w:t>推进国家知识产权强县工程示范县和省知识产权示范园区建设，加强知识产权管理机构建设和工作队伍建设，探索开展知识产权综合管理改革试点，建立集中高效的知识产权综合管理体系。提升知识产权公共服务能力和服务水平，加强知识产权统计监测，培育和引进知识产权代理、法律、信息、交易、运营、评估、咨询和培训等服务机构，促进知识产权服务业快速发展。引导企业实施知识产权贯标工作，指导企业将知识产权工作融入企业创新各环节，“十四五”期间，力争新增知识产权贯标实施企业</w:t>
      </w:r>
      <w:r>
        <w:rPr>
          <w:rFonts w:hint="eastAsia"/>
          <w:lang w:val="en-US" w:eastAsia="zh-CN"/>
        </w:rPr>
        <w:t>10</w:t>
      </w:r>
      <w:r>
        <w:rPr>
          <w:rFonts w:hint="eastAsia"/>
        </w:rPr>
        <w:t>家以上。</w:t>
      </w:r>
    </w:p>
    <w:p>
      <w:pPr>
        <w:spacing w:line="324" w:lineRule="auto"/>
        <w:ind w:firstLine="630" w:firstLineChars="200"/>
        <w:outlineLvl w:val="0"/>
        <w:rPr>
          <w:rFonts w:ascii="黑体" w:hAnsi="黑体" w:eastAsia="黑体"/>
          <w:color w:val="000000"/>
          <w:szCs w:val="32"/>
        </w:rPr>
      </w:pPr>
      <w:bookmarkStart w:id="78" w:name="_Toc6012"/>
      <w:bookmarkStart w:id="79" w:name="_Toc465859991"/>
      <w:r>
        <w:rPr>
          <w:rFonts w:hint="eastAsia" w:ascii="黑体" w:hAnsi="黑体" w:eastAsia="黑体"/>
          <w:color w:val="000000"/>
          <w:szCs w:val="32"/>
        </w:rPr>
        <w:t>四</w:t>
      </w:r>
      <w:r>
        <w:rPr>
          <w:rFonts w:ascii="黑体" w:hAnsi="黑体" w:eastAsia="黑体"/>
          <w:color w:val="000000"/>
          <w:szCs w:val="32"/>
        </w:rPr>
        <w:t>、保障措施</w:t>
      </w:r>
      <w:bookmarkEnd w:id="78"/>
      <w:bookmarkEnd w:id="79"/>
    </w:p>
    <w:p>
      <w:pPr>
        <w:numPr>
          <w:ilvl w:val="0"/>
          <w:numId w:val="5"/>
        </w:numPr>
        <w:spacing w:line="324" w:lineRule="auto"/>
        <w:outlineLvl w:val="1"/>
        <w:rPr>
          <w:rFonts w:ascii="楷体_GB2312" w:eastAsia="楷体_GB2312"/>
          <w:b/>
          <w:bCs/>
          <w:color w:val="000000"/>
          <w:szCs w:val="32"/>
        </w:rPr>
      </w:pPr>
      <w:bookmarkStart w:id="80" w:name="_Toc6913"/>
      <w:r>
        <w:rPr>
          <w:rFonts w:hint="eastAsia" w:ascii="楷体_GB2312" w:eastAsia="楷体_GB2312"/>
          <w:b/>
          <w:bCs/>
          <w:color w:val="000000"/>
          <w:szCs w:val="32"/>
        </w:rPr>
        <w:t>加强科技政策宣传</w:t>
      </w:r>
      <w:bookmarkEnd w:id="80"/>
    </w:p>
    <w:p>
      <w:pPr>
        <w:bidi w:val="0"/>
      </w:pPr>
      <w:r>
        <w:rPr>
          <w:rFonts w:hint="eastAsia"/>
          <w:b/>
          <w:bCs/>
        </w:rPr>
        <w:t>一是开展集中宣传。</w:t>
      </w:r>
      <w:r>
        <w:rPr>
          <w:rFonts w:hint="eastAsia"/>
        </w:rPr>
        <w:t>举办全</w:t>
      </w:r>
      <w:r>
        <w:rPr>
          <w:rFonts w:hint="eastAsia"/>
          <w:lang w:eastAsia="zh-CN"/>
        </w:rPr>
        <w:t>县</w:t>
      </w:r>
      <w:r>
        <w:rPr>
          <w:rFonts w:hint="eastAsia"/>
        </w:rPr>
        <w:t>创新型企业科技管理骨干业务培训班，就高新技术企业认定、科技项目等政策进行精准培训和辅导，并进行结业考试，对成绩予以公示。</w:t>
      </w:r>
      <w:r>
        <w:rPr>
          <w:rFonts w:hint="eastAsia"/>
          <w:b/>
          <w:bCs/>
        </w:rPr>
        <w:t>二是深入一线宣传。</w:t>
      </w:r>
      <w:r>
        <w:rPr>
          <w:rFonts w:hint="eastAsia"/>
        </w:rPr>
        <w:t>相关负责人带队深入企业开展“科技服务进企业，科技服务助发展”调研活动，宣传科技政策，发放《科技政策汇编》，了解企业需求，制定个性化扶持方案。</w:t>
      </w:r>
      <w:r>
        <w:rPr>
          <w:rFonts w:hint="eastAsia"/>
          <w:b/>
          <w:bCs/>
        </w:rPr>
        <w:t>三是打造宣传平台。</w:t>
      </w:r>
      <w:r>
        <w:rPr>
          <w:rFonts w:hint="eastAsia"/>
        </w:rPr>
        <w:t>充分利用新媒体，</w:t>
      </w:r>
      <w:r>
        <w:rPr>
          <w:rFonts w:hint="eastAsia"/>
          <w:lang w:eastAsia="zh-CN"/>
        </w:rPr>
        <w:t>通过建立的科技创新</w:t>
      </w:r>
      <w:r>
        <w:rPr>
          <w:rFonts w:hint="eastAsia"/>
        </w:rPr>
        <w:t>微信</w:t>
      </w:r>
      <w:r>
        <w:rPr>
          <w:rFonts w:hint="eastAsia"/>
          <w:lang w:eastAsia="zh-CN"/>
        </w:rPr>
        <w:t>群</w:t>
      </w:r>
      <w:r>
        <w:rPr>
          <w:rFonts w:hint="eastAsia"/>
        </w:rPr>
        <w:t>等平台载体，</w:t>
      </w:r>
      <w:r>
        <w:rPr>
          <w:rFonts w:hint="eastAsia"/>
          <w:lang w:eastAsia="zh-CN"/>
        </w:rPr>
        <w:t>将省市科技创新政策</w:t>
      </w:r>
      <w:r>
        <w:rPr>
          <w:rFonts w:hint="eastAsia"/>
        </w:rPr>
        <w:t>采用图文、视频等更加生动活泼、通俗易懂的方式进行宣传解读，提升宣传效果。</w:t>
      </w:r>
      <w:r>
        <w:rPr>
          <w:rFonts w:hint="eastAsia"/>
          <w:b/>
          <w:bCs/>
        </w:rPr>
        <w:t>四是加强督导明确奖惩。</w:t>
      </w:r>
      <w:r>
        <w:rPr>
          <w:rFonts w:hint="eastAsia"/>
        </w:rPr>
        <w:t>定期对科技政策宣传工作进行督导，将科技政策宣传工作纳入全员绩效考核，对于成绩突出的予以加分，对于工作不力的予以扣分。</w:t>
      </w:r>
    </w:p>
    <w:p>
      <w:pPr>
        <w:numPr>
          <w:ilvl w:val="0"/>
          <w:numId w:val="5"/>
        </w:numPr>
        <w:spacing w:line="324" w:lineRule="auto"/>
        <w:outlineLvl w:val="1"/>
        <w:rPr>
          <w:rFonts w:ascii="楷体_GB2312" w:eastAsia="楷体_GB2312"/>
          <w:b/>
          <w:bCs/>
          <w:color w:val="000000"/>
          <w:szCs w:val="32"/>
        </w:rPr>
      </w:pPr>
      <w:bookmarkStart w:id="81" w:name="_Toc23031"/>
      <w:bookmarkStart w:id="82" w:name="_Toc465859986"/>
      <w:r>
        <w:rPr>
          <w:rFonts w:hint="eastAsia" w:ascii="楷体_GB2312" w:eastAsia="楷体_GB2312"/>
          <w:b/>
          <w:bCs/>
          <w:color w:val="000000"/>
          <w:szCs w:val="32"/>
        </w:rPr>
        <w:t>完善协同创新体系</w:t>
      </w:r>
      <w:bookmarkEnd w:id="81"/>
      <w:bookmarkEnd w:id="82"/>
    </w:p>
    <w:p>
      <w:pPr>
        <w:bidi w:val="0"/>
      </w:pPr>
      <w:r>
        <w:rPr>
          <w:rFonts w:hint="eastAsia"/>
          <w:b/>
          <w:bCs/>
        </w:rPr>
        <w:t>健全产学研协同创新机制。</w:t>
      </w:r>
      <w:r>
        <w:rPr>
          <w:rFonts w:hint="eastAsia"/>
        </w:rPr>
        <w:t>借助省内高校专家资源，发挥科技</w:t>
      </w:r>
      <w:r>
        <w:rPr>
          <w:rFonts w:hint="eastAsia"/>
          <w:lang w:eastAsia="zh-CN"/>
        </w:rPr>
        <w:t>特派员</w:t>
      </w:r>
      <w:r>
        <w:rPr>
          <w:rFonts w:hint="eastAsia"/>
        </w:rPr>
        <w:t>的专业优势，加强高校专家与基层、企业的直接对接。围绕产业链布局创新链，推动产学研用深度融合，实现科技创新网络和成果转化应用网络密切协同。应充分运用信息技术手段，依托“互联网+”，构建全产业链、线上线下良性互动的科技成果转化应用网络。坚持需求导向，加强新型研发组织、中介机构培育，大力发展研发服务外包、制造服务外包等新兴业态，形成分工合理、资源互补的跨区域、跨行业的研发服务和制造服务体系。深化制度和机制改革，加大政策支持力度，进一步完善知识产权交易、科技服务等方面的制度，努力形成各类创新主体协力推进创新成果转化的合作机制和发展模式。</w:t>
      </w:r>
    </w:p>
    <w:p>
      <w:pPr>
        <w:numPr>
          <w:ilvl w:val="0"/>
          <w:numId w:val="5"/>
        </w:numPr>
        <w:spacing w:line="324" w:lineRule="auto"/>
        <w:outlineLvl w:val="1"/>
        <w:rPr>
          <w:rFonts w:ascii="楷体_GB2312" w:eastAsia="楷体_GB2312"/>
          <w:b/>
          <w:bCs/>
          <w:color w:val="000000"/>
          <w:szCs w:val="32"/>
        </w:rPr>
      </w:pPr>
      <w:bookmarkStart w:id="83" w:name="_Toc10613"/>
      <w:r>
        <w:rPr>
          <w:rFonts w:hint="eastAsia" w:ascii="楷体_GB2312" w:eastAsia="楷体_GB2312"/>
          <w:b/>
          <w:bCs/>
          <w:color w:val="000000"/>
          <w:szCs w:val="32"/>
        </w:rPr>
        <w:t>增强科技创新能力</w:t>
      </w:r>
      <w:bookmarkEnd w:id="83"/>
    </w:p>
    <w:p>
      <w:pPr>
        <w:bidi w:val="0"/>
      </w:pPr>
      <w:r>
        <w:rPr>
          <w:rFonts w:hint="eastAsia"/>
          <w:b/>
          <w:bCs/>
        </w:rPr>
        <w:t>增强企业自主创新能力。</w:t>
      </w:r>
      <w:r>
        <w:rPr>
          <w:rFonts w:hint="eastAsia"/>
        </w:rPr>
        <w:t>目前，我县自主创新能力总体较薄弱，需通过大力提高研发投入，加快培育一批创新型领军企业，强化企业技术创新主体地位。</w:t>
      </w:r>
    </w:p>
    <w:p>
      <w:pPr>
        <w:bidi w:val="0"/>
      </w:pPr>
      <w:r>
        <w:rPr>
          <w:rFonts w:hint="eastAsia"/>
          <w:b/>
          <w:bCs/>
        </w:rPr>
        <w:t>完善科技成果转化机制</w:t>
      </w:r>
      <w:r>
        <w:rPr>
          <w:rFonts w:hint="eastAsia"/>
        </w:rPr>
        <w:t>。建立</w:t>
      </w:r>
      <w:r>
        <w:rPr>
          <w:rFonts w:hint="eastAsia"/>
          <w:lang w:eastAsia="zh-CN"/>
        </w:rPr>
        <w:t>完善</w:t>
      </w:r>
      <w:r>
        <w:rPr>
          <w:rFonts w:hint="eastAsia"/>
        </w:rPr>
        <w:t>科技成果转化机制，加强集成应用和产业化示范。建立健全企业主导技术研发创新的体制机制，有效对接高校、科研院所的科技成果与企业技术发展的需求，加强金融机构对于科技成果转化的支持。</w:t>
      </w:r>
    </w:p>
    <w:p>
      <w:pPr>
        <w:numPr>
          <w:ilvl w:val="0"/>
          <w:numId w:val="5"/>
        </w:numPr>
        <w:spacing w:line="324" w:lineRule="auto"/>
        <w:outlineLvl w:val="1"/>
        <w:rPr>
          <w:rFonts w:ascii="楷体_GB2312" w:eastAsia="楷体_GB2312"/>
          <w:b/>
          <w:bCs/>
          <w:color w:val="000000"/>
          <w:szCs w:val="32"/>
        </w:rPr>
      </w:pPr>
      <w:bookmarkStart w:id="84" w:name="_Toc6923"/>
      <w:r>
        <w:rPr>
          <w:rFonts w:hint="eastAsia" w:ascii="楷体_GB2312" w:eastAsia="楷体_GB2312"/>
          <w:b/>
          <w:bCs/>
          <w:color w:val="000000"/>
          <w:szCs w:val="32"/>
        </w:rPr>
        <w:t>强化科技人才保障</w:t>
      </w:r>
      <w:bookmarkEnd w:id="84"/>
    </w:p>
    <w:p>
      <w:pPr>
        <w:bidi w:val="0"/>
      </w:pPr>
      <w:r>
        <w:rPr>
          <w:rFonts w:hint="eastAsia"/>
          <w:b/>
          <w:bCs/>
        </w:rPr>
        <w:t>实施人才安居工程。</w:t>
      </w:r>
      <w:r>
        <w:rPr>
          <w:rFonts w:hint="eastAsia"/>
        </w:rPr>
        <w:t>每年安排一定数量的人才公寓，用于解决新引进人才的安置需求。对新引进的市级以上创新创业团队核心成员和领军人才等，落户时可享受一定补助。</w:t>
      </w:r>
    </w:p>
    <w:p>
      <w:pPr>
        <w:bidi w:val="0"/>
      </w:pPr>
      <w:r>
        <w:rPr>
          <w:rFonts w:hint="eastAsia"/>
          <w:b/>
          <w:bCs/>
        </w:rPr>
        <w:t>积极引进人才团队。</w:t>
      </w:r>
      <w:r>
        <w:rPr>
          <w:rFonts w:hint="eastAsia"/>
        </w:rPr>
        <w:t>加速引入在我县传统优势产业和战略性新兴产业领域具有领先创新成果、拥有自主知识产权、产业化前景广阔的创新科研人才团队。入选市级和省级创新创业人才团队、港澳和外籍高层次人才、港澳青年创新创业团队的，可享受我县人才政策。</w:t>
      </w:r>
    </w:p>
    <w:p>
      <w:pPr>
        <w:bidi w:val="0"/>
      </w:pPr>
      <w:r>
        <w:rPr>
          <w:rFonts w:hint="eastAsia"/>
          <w:b/>
          <w:bCs/>
        </w:rPr>
        <w:t>紧缺适用人才个税补贴。</w:t>
      </w:r>
      <w:r>
        <w:rPr>
          <w:rFonts w:hint="eastAsia"/>
        </w:rPr>
        <w:t>对于新引进的产业发展领域紧缺适用人才按一定的标准给予</w:t>
      </w:r>
      <w:r>
        <w:rPr>
          <w:rFonts w:hint="eastAsia"/>
          <w:lang w:eastAsia="zh-CN"/>
        </w:rPr>
        <w:t>人才</w:t>
      </w:r>
      <w:r>
        <w:rPr>
          <w:rFonts w:hint="eastAsia"/>
        </w:rPr>
        <w:t>补贴。支持在</w:t>
      </w:r>
      <w:r>
        <w:rPr>
          <w:rFonts w:hint="eastAsia"/>
          <w:lang w:eastAsia="zh-CN"/>
        </w:rPr>
        <w:t>新丰</w:t>
      </w:r>
      <w:r>
        <w:rPr>
          <w:rFonts w:hint="eastAsia"/>
        </w:rPr>
        <w:t>工作港澳人才和外籍高层次人才认定我市高层次人才，最高按上一年度申报缴纳个人所得税总额给予</w:t>
      </w:r>
      <w:r>
        <w:rPr>
          <w:rFonts w:hint="eastAsia"/>
          <w:lang w:eastAsia="zh-CN"/>
        </w:rPr>
        <w:t>一定</w:t>
      </w:r>
      <w:r>
        <w:rPr>
          <w:rFonts w:hint="eastAsia"/>
        </w:rPr>
        <w:t>补贴。</w:t>
      </w:r>
    </w:p>
    <w:p>
      <w:pPr>
        <w:bidi w:val="0"/>
      </w:pPr>
      <w:r>
        <w:rPr>
          <w:rFonts w:hint="eastAsia"/>
          <w:b/>
          <w:bCs/>
        </w:rPr>
        <w:t>强化人才配套服务。</w:t>
      </w:r>
      <w:r>
        <w:rPr>
          <w:rFonts w:hint="eastAsia"/>
        </w:rPr>
        <w:t>落实和兑现引才扶持优惠政策，对高层次人才开放“绿色办理服务通道”，开展“一站式”人才服务，实行主动服务和靠前服务，对特殊人才实行“一事一议”、“特事特办”。积极探索建立“人才卡”服务制度，对持卡人才在医疗、子女教育、旅游、市政服务等方面给予优待。提高人才服务效率，切实解决高层次人才后顾之忧。</w:t>
      </w:r>
      <w:r>
        <w:rPr>
          <w:rFonts w:hint="eastAsia"/>
        </w:rPr>
        <w:tab/>
      </w:r>
    </w:p>
    <w:sectPr>
      <w:footerReference r:id="rId4" w:type="default"/>
      <w:pgSz w:w="11906" w:h="16838"/>
      <w:pgMar w:top="2041" w:right="1474" w:bottom="1134" w:left="1587" w:header="851" w:footer="1474" w:gutter="0"/>
      <w:pgNumType w:fmt="decimal" w:start="1"/>
      <w:cols w:space="720" w:num="1"/>
      <w:docGrid w:type="linesAndChars" w:linePitch="632" w:charSpace="-10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0" w:usb1="00000000" w:usb2="00000000" w:usb3="00000000" w:csb0="00000000" w:csb1="00000000"/>
  </w:font>
  <w:font w:name="方正小标宋_GBK">
    <w:panose1 w:val="03000509000000000000"/>
    <w:charset w:val="86"/>
    <w:family w:val="auto"/>
    <w:pitch w:val="default"/>
    <w:sig w:usb0="00000000" w:usb1="00000000" w:usb2="00000000" w:usb3="00000000" w:csb0="00000000" w:csb1="00000000"/>
  </w:font>
  <w:font w:name="方正大标宋简体">
    <w:panose1 w:val="02010601030101010101"/>
    <w:charset w:val="86"/>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12065" b="13335"/>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832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32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831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31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27EEF2"/>
    <w:multiLevelType w:val="singleLevel"/>
    <w:tmpl w:val="AA27EEF2"/>
    <w:lvl w:ilvl="0" w:tentative="0">
      <w:start w:val="1"/>
      <w:numFmt w:val="chineseCounting"/>
      <w:suff w:val="nothing"/>
      <w:lvlText w:val="（%1）"/>
      <w:lvlJc w:val="left"/>
      <w:pPr>
        <w:ind w:left="0" w:firstLine="420"/>
      </w:pPr>
      <w:rPr>
        <w:rFonts w:hint="eastAsia"/>
      </w:rPr>
    </w:lvl>
  </w:abstractNum>
  <w:abstractNum w:abstractNumId="1">
    <w:nsid w:val="C99844DF"/>
    <w:multiLevelType w:val="singleLevel"/>
    <w:tmpl w:val="C99844DF"/>
    <w:lvl w:ilvl="0" w:tentative="0">
      <w:start w:val="1"/>
      <w:numFmt w:val="chineseCounting"/>
      <w:suff w:val="nothing"/>
      <w:lvlText w:val="（%1）"/>
      <w:lvlJc w:val="left"/>
      <w:pPr>
        <w:ind w:left="0" w:firstLine="420"/>
      </w:pPr>
      <w:rPr>
        <w:rFonts w:hint="eastAsia"/>
      </w:rPr>
    </w:lvl>
  </w:abstractNum>
  <w:abstractNum w:abstractNumId="2">
    <w:nsid w:val="E84B9C54"/>
    <w:multiLevelType w:val="singleLevel"/>
    <w:tmpl w:val="E84B9C54"/>
    <w:lvl w:ilvl="0" w:tentative="0">
      <w:start w:val="1"/>
      <w:numFmt w:val="chineseCounting"/>
      <w:suff w:val="nothing"/>
      <w:lvlText w:val="（%1）"/>
      <w:lvlJc w:val="left"/>
      <w:pPr>
        <w:ind w:left="0" w:firstLine="420"/>
      </w:pPr>
      <w:rPr>
        <w:rFonts w:hint="eastAsia"/>
      </w:rPr>
    </w:lvl>
  </w:abstractNum>
  <w:abstractNum w:abstractNumId="3">
    <w:nsid w:val="4506C52D"/>
    <w:multiLevelType w:val="singleLevel"/>
    <w:tmpl w:val="4506C52D"/>
    <w:lvl w:ilvl="0" w:tentative="0">
      <w:start w:val="1"/>
      <w:numFmt w:val="chineseCounting"/>
      <w:suff w:val="nothing"/>
      <w:lvlText w:val="（%1）"/>
      <w:lvlJc w:val="left"/>
      <w:pPr>
        <w:ind w:left="0" w:firstLine="420"/>
      </w:pPr>
      <w:rPr>
        <w:rFonts w:hint="eastAsia"/>
      </w:rPr>
    </w:lvl>
  </w:abstractNum>
  <w:abstractNum w:abstractNumId="4">
    <w:nsid w:val="562584C5"/>
    <w:multiLevelType w:val="singleLevel"/>
    <w:tmpl w:val="562584C5"/>
    <w:lvl w:ilvl="0" w:tentative="0">
      <w:start w:val="1"/>
      <w:numFmt w:val="chineseCounting"/>
      <w:suff w:val="nothing"/>
      <w:lvlText w:val="%1、"/>
      <w:lvlJc w:val="left"/>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671CA5"/>
    <w:rsid w:val="00001362"/>
    <w:rsid w:val="00002ADF"/>
    <w:rsid w:val="000062EA"/>
    <w:rsid w:val="0002074E"/>
    <w:rsid w:val="0006013D"/>
    <w:rsid w:val="00081F6A"/>
    <w:rsid w:val="00097882"/>
    <w:rsid w:val="000C00DF"/>
    <w:rsid w:val="000D1FD7"/>
    <w:rsid w:val="000E0052"/>
    <w:rsid w:val="000E13AB"/>
    <w:rsid w:val="000E71AA"/>
    <w:rsid w:val="00126D9B"/>
    <w:rsid w:val="00161152"/>
    <w:rsid w:val="00162B18"/>
    <w:rsid w:val="0018370D"/>
    <w:rsid w:val="0019708B"/>
    <w:rsid w:val="001C79C2"/>
    <w:rsid w:val="001D4726"/>
    <w:rsid w:val="001E2645"/>
    <w:rsid w:val="001F2FB0"/>
    <w:rsid w:val="00227FF1"/>
    <w:rsid w:val="0023483B"/>
    <w:rsid w:val="00241EDB"/>
    <w:rsid w:val="002A451A"/>
    <w:rsid w:val="003135B8"/>
    <w:rsid w:val="0034232A"/>
    <w:rsid w:val="00344F3D"/>
    <w:rsid w:val="003758C9"/>
    <w:rsid w:val="003C6B0D"/>
    <w:rsid w:val="00412278"/>
    <w:rsid w:val="0041227B"/>
    <w:rsid w:val="00417261"/>
    <w:rsid w:val="004C46D4"/>
    <w:rsid w:val="004C491F"/>
    <w:rsid w:val="00527D1A"/>
    <w:rsid w:val="00596953"/>
    <w:rsid w:val="005A3B1F"/>
    <w:rsid w:val="005A7333"/>
    <w:rsid w:val="005B220B"/>
    <w:rsid w:val="005D4D3F"/>
    <w:rsid w:val="005F7AF5"/>
    <w:rsid w:val="00620ABD"/>
    <w:rsid w:val="00622DAB"/>
    <w:rsid w:val="00623605"/>
    <w:rsid w:val="00647074"/>
    <w:rsid w:val="006746CA"/>
    <w:rsid w:val="00695F8B"/>
    <w:rsid w:val="006A34E2"/>
    <w:rsid w:val="006B323D"/>
    <w:rsid w:val="006F18BE"/>
    <w:rsid w:val="006F5902"/>
    <w:rsid w:val="00730935"/>
    <w:rsid w:val="00732BF9"/>
    <w:rsid w:val="0073736D"/>
    <w:rsid w:val="00770155"/>
    <w:rsid w:val="00772A75"/>
    <w:rsid w:val="00780E6A"/>
    <w:rsid w:val="00781543"/>
    <w:rsid w:val="00786EC4"/>
    <w:rsid w:val="00791443"/>
    <w:rsid w:val="007A0F06"/>
    <w:rsid w:val="007C65AF"/>
    <w:rsid w:val="007E3F68"/>
    <w:rsid w:val="007F7A65"/>
    <w:rsid w:val="00811F34"/>
    <w:rsid w:val="008A0E3A"/>
    <w:rsid w:val="008B2701"/>
    <w:rsid w:val="008D12AA"/>
    <w:rsid w:val="00917837"/>
    <w:rsid w:val="00922E34"/>
    <w:rsid w:val="00952A38"/>
    <w:rsid w:val="009F52F6"/>
    <w:rsid w:val="00A74008"/>
    <w:rsid w:val="00A80C9A"/>
    <w:rsid w:val="00AA0F5B"/>
    <w:rsid w:val="00AF0DA7"/>
    <w:rsid w:val="00B77533"/>
    <w:rsid w:val="00C32601"/>
    <w:rsid w:val="00C36D0D"/>
    <w:rsid w:val="00C556F1"/>
    <w:rsid w:val="00C61521"/>
    <w:rsid w:val="00C64CC7"/>
    <w:rsid w:val="00C71F81"/>
    <w:rsid w:val="00C93F51"/>
    <w:rsid w:val="00D32176"/>
    <w:rsid w:val="00D43324"/>
    <w:rsid w:val="00D505B7"/>
    <w:rsid w:val="00D65360"/>
    <w:rsid w:val="00DA29C6"/>
    <w:rsid w:val="00DA680C"/>
    <w:rsid w:val="00DE18F9"/>
    <w:rsid w:val="00E0107B"/>
    <w:rsid w:val="00E01710"/>
    <w:rsid w:val="00E64633"/>
    <w:rsid w:val="00E96A37"/>
    <w:rsid w:val="00ED5F7A"/>
    <w:rsid w:val="00F32A75"/>
    <w:rsid w:val="00F517A9"/>
    <w:rsid w:val="00F51B63"/>
    <w:rsid w:val="00F62CA8"/>
    <w:rsid w:val="00F7179B"/>
    <w:rsid w:val="00F939B7"/>
    <w:rsid w:val="00FD1B0F"/>
    <w:rsid w:val="00FE1B7A"/>
    <w:rsid w:val="00FF3F40"/>
    <w:rsid w:val="014C2FC4"/>
    <w:rsid w:val="01896F86"/>
    <w:rsid w:val="032C4568"/>
    <w:rsid w:val="035472AC"/>
    <w:rsid w:val="05621A92"/>
    <w:rsid w:val="05FE74F1"/>
    <w:rsid w:val="06E2115F"/>
    <w:rsid w:val="07FE6F33"/>
    <w:rsid w:val="08B22FED"/>
    <w:rsid w:val="0A810258"/>
    <w:rsid w:val="0B262C06"/>
    <w:rsid w:val="0C9778CE"/>
    <w:rsid w:val="0CFD62BF"/>
    <w:rsid w:val="0EA275E5"/>
    <w:rsid w:val="0ED71620"/>
    <w:rsid w:val="0F2F1453"/>
    <w:rsid w:val="10857908"/>
    <w:rsid w:val="12BE6135"/>
    <w:rsid w:val="13897465"/>
    <w:rsid w:val="1398796C"/>
    <w:rsid w:val="13F50018"/>
    <w:rsid w:val="15257577"/>
    <w:rsid w:val="162E60B1"/>
    <w:rsid w:val="162F0A08"/>
    <w:rsid w:val="16AC189B"/>
    <w:rsid w:val="17685B07"/>
    <w:rsid w:val="1890654E"/>
    <w:rsid w:val="195255FA"/>
    <w:rsid w:val="1A067E64"/>
    <w:rsid w:val="1A9F18A6"/>
    <w:rsid w:val="1AF51A3A"/>
    <w:rsid w:val="1B6000E7"/>
    <w:rsid w:val="1E0C4782"/>
    <w:rsid w:val="1FD75AB1"/>
    <w:rsid w:val="21926CFD"/>
    <w:rsid w:val="228F48C4"/>
    <w:rsid w:val="22EB68C8"/>
    <w:rsid w:val="23113952"/>
    <w:rsid w:val="24D359B0"/>
    <w:rsid w:val="26630809"/>
    <w:rsid w:val="26F940AB"/>
    <w:rsid w:val="28716869"/>
    <w:rsid w:val="287C73C4"/>
    <w:rsid w:val="288832B4"/>
    <w:rsid w:val="291E30A7"/>
    <w:rsid w:val="2A3C7018"/>
    <w:rsid w:val="2B8E6F07"/>
    <w:rsid w:val="2DC02C59"/>
    <w:rsid w:val="2F382839"/>
    <w:rsid w:val="30091445"/>
    <w:rsid w:val="320B27AD"/>
    <w:rsid w:val="342E6D4A"/>
    <w:rsid w:val="3443353D"/>
    <w:rsid w:val="35DB66F5"/>
    <w:rsid w:val="364F7806"/>
    <w:rsid w:val="370301E9"/>
    <w:rsid w:val="37042C96"/>
    <w:rsid w:val="399D3CD2"/>
    <w:rsid w:val="39CF2AC9"/>
    <w:rsid w:val="3B3C75B5"/>
    <w:rsid w:val="3E136716"/>
    <w:rsid w:val="3FCD33EC"/>
    <w:rsid w:val="3FD64942"/>
    <w:rsid w:val="407E13CE"/>
    <w:rsid w:val="430A673F"/>
    <w:rsid w:val="43BE4F6A"/>
    <w:rsid w:val="44671CA5"/>
    <w:rsid w:val="44A937F9"/>
    <w:rsid w:val="44E62FC0"/>
    <w:rsid w:val="450360EF"/>
    <w:rsid w:val="49631261"/>
    <w:rsid w:val="498B6D5A"/>
    <w:rsid w:val="4AF17450"/>
    <w:rsid w:val="4C5E3BD2"/>
    <w:rsid w:val="4C69417E"/>
    <w:rsid w:val="4FB97CF5"/>
    <w:rsid w:val="50444FFE"/>
    <w:rsid w:val="507B2A0A"/>
    <w:rsid w:val="514371E4"/>
    <w:rsid w:val="517510EE"/>
    <w:rsid w:val="527C4AE3"/>
    <w:rsid w:val="52D32480"/>
    <w:rsid w:val="53451077"/>
    <w:rsid w:val="53C54426"/>
    <w:rsid w:val="54536C0F"/>
    <w:rsid w:val="555C0EA3"/>
    <w:rsid w:val="55A97268"/>
    <w:rsid w:val="55DE7A96"/>
    <w:rsid w:val="565E6EE1"/>
    <w:rsid w:val="57A21DD9"/>
    <w:rsid w:val="58B31575"/>
    <w:rsid w:val="5C2C7A04"/>
    <w:rsid w:val="5C31054D"/>
    <w:rsid w:val="5C34774B"/>
    <w:rsid w:val="5CC5762D"/>
    <w:rsid w:val="5E4718C9"/>
    <w:rsid w:val="5F7B48FB"/>
    <w:rsid w:val="61BE28C9"/>
    <w:rsid w:val="62031561"/>
    <w:rsid w:val="6210680E"/>
    <w:rsid w:val="626D3E15"/>
    <w:rsid w:val="63F73D00"/>
    <w:rsid w:val="6423777F"/>
    <w:rsid w:val="66ED2F52"/>
    <w:rsid w:val="67C902CB"/>
    <w:rsid w:val="682F5918"/>
    <w:rsid w:val="68657228"/>
    <w:rsid w:val="68ED1E13"/>
    <w:rsid w:val="68F6142D"/>
    <w:rsid w:val="6A175424"/>
    <w:rsid w:val="6ADD6EF6"/>
    <w:rsid w:val="6C585CA2"/>
    <w:rsid w:val="6DDD250A"/>
    <w:rsid w:val="6E2D7C7C"/>
    <w:rsid w:val="730530BC"/>
    <w:rsid w:val="730A1792"/>
    <w:rsid w:val="73627E7E"/>
    <w:rsid w:val="73661099"/>
    <w:rsid w:val="73F1341F"/>
    <w:rsid w:val="74F952DB"/>
    <w:rsid w:val="767912E6"/>
    <w:rsid w:val="768C6D0D"/>
    <w:rsid w:val="768D57BE"/>
    <w:rsid w:val="76FD340F"/>
    <w:rsid w:val="774430A7"/>
    <w:rsid w:val="77A21C5B"/>
    <w:rsid w:val="77E40F73"/>
    <w:rsid w:val="782B2781"/>
    <w:rsid w:val="7A2218E1"/>
    <w:rsid w:val="7B1C36A7"/>
    <w:rsid w:val="7BC41CE9"/>
    <w:rsid w:val="7C5F72D2"/>
    <w:rsid w:val="7CE6098F"/>
    <w:rsid w:val="7E9153A7"/>
    <w:rsid w:val="7F844E3F"/>
    <w:rsid w:val="7F977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spacing w:line="240" w:lineRule="auto"/>
      <w:ind w:firstLine="870" w:firstLineChars="20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Indent"/>
    <w:basedOn w:val="1"/>
    <w:unhideWhenUsed/>
    <w:qFormat/>
    <w:uiPriority w:val="99"/>
    <w:pPr>
      <w:spacing w:after="120"/>
      <w:ind w:left="420" w:leftChars="200"/>
    </w:pPr>
  </w:style>
  <w:style w:type="paragraph" w:styleId="5">
    <w:name w:val="Balloon Text"/>
    <w:basedOn w:val="1"/>
    <w:link w:val="24"/>
    <w:qFormat/>
    <w:uiPriority w:val="0"/>
    <w:pPr>
      <w:spacing w:line="240" w:lineRule="auto"/>
    </w:pPr>
    <w:rPr>
      <w:sz w:val="18"/>
      <w:szCs w:val="18"/>
    </w:rPr>
  </w:style>
  <w:style w:type="paragraph" w:styleId="6">
    <w:name w:val="footer"/>
    <w:basedOn w:val="1"/>
    <w:qFormat/>
    <w:uiPriority w:val="0"/>
    <w:pPr>
      <w:tabs>
        <w:tab w:val="center" w:pos="4153"/>
        <w:tab w:val="right" w:pos="8306"/>
      </w:tabs>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Normal (Web)"/>
    <w:basedOn w:val="1"/>
    <w:qFormat/>
    <w:uiPriority w:val="0"/>
    <w:pPr>
      <w:spacing w:beforeAutospacing="1" w:afterAutospacing="1"/>
      <w:jc w:val="left"/>
    </w:pPr>
    <w:rPr>
      <w:kern w:val="0"/>
      <w:sz w:val="24"/>
    </w:rPr>
  </w:style>
  <w:style w:type="paragraph" w:styleId="11">
    <w:name w:val="Body Text First Indent 2"/>
    <w:basedOn w:val="4"/>
    <w:unhideWhenUsed/>
    <w:qFormat/>
    <w:uiPriority w:val="0"/>
    <w:pPr>
      <w:ind w:firstLine="420" w:firstLineChars="200"/>
    </w:pPr>
  </w:style>
  <w:style w:type="character" w:styleId="14">
    <w:name w:val="page number"/>
    <w:basedOn w:val="13"/>
    <w:qFormat/>
    <w:uiPriority w:val="0"/>
    <w:rPr>
      <w:rFonts w:ascii="Times New Roman" w:hAnsi="Times New Roman" w:eastAsia="宋体"/>
      <w:sz w:val="24"/>
    </w:rPr>
  </w:style>
  <w:style w:type="character" w:styleId="15">
    <w:name w:val="Hyperlink"/>
    <w:basedOn w:val="13"/>
    <w:qFormat/>
    <w:uiPriority w:val="99"/>
    <w:rPr>
      <w:color w:val="0000FF"/>
      <w:u w:val="single"/>
    </w:rPr>
  </w:style>
  <w:style w:type="paragraph" w:customStyle="1" w:styleId="16">
    <w:name w:val="_Style 1"/>
    <w:basedOn w:val="1"/>
    <w:qFormat/>
    <w:uiPriority w:val="0"/>
    <w:pPr>
      <w:snapToGrid/>
      <w:spacing w:line="240" w:lineRule="auto"/>
      <w:ind w:firstLine="420" w:firstLineChars="200"/>
    </w:pPr>
    <w:rPr>
      <w:rFonts w:eastAsia="宋体"/>
      <w:sz w:val="21"/>
    </w:rPr>
  </w:style>
  <w:style w:type="character" w:customStyle="1" w:styleId="17">
    <w:name w:val="font71"/>
    <w:qFormat/>
    <w:uiPriority w:val="0"/>
    <w:rPr>
      <w:rFonts w:hint="eastAsia" w:ascii="宋体" w:hAnsi="宋体" w:eastAsia="宋体" w:cs="宋体"/>
      <w:color w:val="000000"/>
      <w:sz w:val="21"/>
      <w:szCs w:val="21"/>
      <w:u w:val="none"/>
    </w:rPr>
  </w:style>
  <w:style w:type="character" w:customStyle="1" w:styleId="18">
    <w:name w:val="font11"/>
    <w:qFormat/>
    <w:uiPriority w:val="0"/>
    <w:rPr>
      <w:rFonts w:ascii="Calibri" w:hAnsi="Calibri" w:cs="Calibri"/>
      <w:color w:val="000000"/>
      <w:sz w:val="21"/>
      <w:szCs w:val="21"/>
      <w:u w:val="none"/>
    </w:rPr>
  </w:style>
  <w:style w:type="character" w:customStyle="1" w:styleId="19">
    <w:name w:val="font21"/>
    <w:qFormat/>
    <w:uiPriority w:val="0"/>
    <w:rPr>
      <w:rFonts w:hint="eastAsia" w:ascii="宋体" w:hAnsi="宋体" w:eastAsia="宋体" w:cs="宋体"/>
      <w:color w:val="000000"/>
      <w:sz w:val="22"/>
      <w:szCs w:val="22"/>
      <w:u w:val="none"/>
    </w:rPr>
  </w:style>
  <w:style w:type="character" w:customStyle="1" w:styleId="20">
    <w:name w:val="font01"/>
    <w:qFormat/>
    <w:uiPriority w:val="0"/>
    <w:rPr>
      <w:rFonts w:hint="eastAsia" w:ascii="宋体" w:hAnsi="宋体" w:eastAsia="宋体" w:cs="宋体"/>
      <w:color w:val="000000"/>
      <w:sz w:val="21"/>
      <w:szCs w:val="21"/>
      <w:u w:val="none"/>
    </w:rPr>
  </w:style>
  <w:style w:type="character" w:customStyle="1" w:styleId="21">
    <w:name w:val="font91"/>
    <w:qFormat/>
    <w:uiPriority w:val="0"/>
    <w:rPr>
      <w:rFonts w:hint="default" w:ascii="Calibri" w:hAnsi="Calibri" w:cs="Calibri"/>
      <w:color w:val="000000"/>
      <w:sz w:val="21"/>
      <w:szCs w:val="21"/>
      <w:u w:val="none"/>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4">
    <w:name w:val="批注框文本 字符"/>
    <w:basedOn w:val="13"/>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6C2875-1272-4CD4-91F3-49BE5C8489C6}">
  <ds:schemaRefs/>
</ds:datastoreItem>
</file>

<file path=docProps/app.xml><?xml version="1.0" encoding="utf-8"?>
<Properties xmlns="http://schemas.openxmlformats.org/officeDocument/2006/extended-properties" xmlns:vt="http://schemas.openxmlformats.org/officeDocument/2006/docPropsVTypes">
  <Template>Normal</Template>
  <Pages>16</Pages>
  <Words>1372</Words>
  <Characters>7823</Characters>
  <Lines>65</Lines>
  <Paragraphs>18</Paragraphs>
  <TotalTime>1</TotalTime>
  <ScaleCrop>false</ScaleCrop>
  <LinksUpToDate>false</LinksUpToDate>
  <CharactersWithSpaces>9177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2020-07-20T03:05:00Z</dcterms:created>
  <dc:creator>Fannie</dc:creator>
  <cp:lastModifiedBy>-</cp:lastModifiedBy>
  <cp:lastPrinted>2020-06-29T07:59:00Z</cp:lastPrinted>
  <dcterms:modified xsi:type="dcterms:W3CDTF">2020-10-27T05:44:29Z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