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方正小标宋_GBK" w:hAnsi="方正小标宋_GBK" w:eastAsia="方正小标宋_GBK" w:cs="方正小标宋_GBK"/>
          <w:sz w:val="52"/>
          <w:szCs w:val="52"/>
          <w:highlight w:val="none"/>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方正小标宋简体" w:hAnsi="方正小标宋简体" w:eastAsia="方正小标宋简体" w:cs="方正小标宋简体"/>
          <w:sz w:val="52"/>
          <w:szCs w:val="52"/>
          <w:lang w:eastAsia="zh-CN"/>
        </w:rPr>
      </w:pPr>
      <w:bookmarkStart w:id="51" w:name="_GoBack"/>
      <w:r>
        <w:rPr>
          <w:rFonts w:hint="eastAsia" w:ascii="方正小标宋简体" w:hAnsi="方正小标宋简体" w:eastAsia="方正小标宋简体" w:cs="方正小标宋简体"/>
          <w:sz w:val="52"/>
          <w:szCs w:val="52"/>
          <w:lang w:eastAsia="zh-CN"/>
        </w:rPr>
        <w:t>新丰县</w:t>
      </w:r>
      <w:r>
        <w:rPr>
          <w:rFonts w:hint="eastAsia" w:ascii="方正小标宋简体" w:hAnsi="方正小标宋简体" w:eastAsia="方正小标宋简体" w:cs="方正小标宋简体"/>
          <w:sz w:val="52"/>
          <w:szCs w:val="52"/>
        </w:rPr>
        <w:t>电子商务、物流及金融产业发展“十四五”</w:t>
      </w:r>
      <w:r>
        <w:rPr>
          <w:rFonts w:hint="eastAsia" w:ascii="方正小标宋简体" w:hAnsi="方正小标宋简体" w:eastAsia="方正小标宋简体" w:cs="方正小标宋简体"/>
          <w:sz w:val="52"/>
          <w:szCs w:val="52"/>
          <w:lang w:eastAsia="zh-CN"/>
        </w:rPr>
        <w:t>规划</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方正小标宋简体" w:hAnsi="方正小标宋简体" w:eastAsia="方正小标宋简体" w:cs="方正小标宋简体"/>
          <w:sz w:val="52"/>
          <w:szCs w:val="52"/>
          <w:lang w:eastAsia="zh-CN"/>
        </w:rPr>
      </w:pPr>
      <w:r>
        <w:rPr>
          <w:rFonts w:hint="eastAsia" w:ascii="方正小标宋简体" w:hAnsi="方正小标宋简体" w:eastAsia="方正小标宋简体" w:cs="方正小标宋简体"/>
          <w:sz w:val="52"/>
          <w:szCs w:val="52"/>
          <w:lang w:eastAsia="zh-CN"/>
        </w:rPr>
        <w:t>（</w:t>
      </w:r>
      <w:r>
        <w:rPr>
          <w:rFonts w:hint="eastAsia" w:ascii="方正小标宋简体" w:hAnsi="方正小标宋简体" w:eastAsia="方正小标宋简体" w:cs="方正小标宋简体"/>
          <w:sz w:val="52"/>
          <w:szCs w:val="52"/>
          <w:lang w:val="en-US" w:eastAsia="zh-CN"/>
        </w:rPr>
        <w:t>2021-2025</w:t>
      </w:r>
      <w:r>
        <w:rPr>
          <w:rFonts w:hint="eastAsia" w:ascii="方正小标宋简体" w:hAnsi="方正小标宋简体" w:eastAsia="方正小标宋简体" w:cs="方正小标宋简体"/>
          <w:sz w:val="52"/>
          <w:szCs w:val="52"/>
          <w:lang w:eastAsia="zh-CN"/>
        </w:rPr>
        <w:t>）</w:t>
      </w:r>
    </w:p>
    <w:bookmarkEnd w:id="51"/>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方正小标宋简体" w:hAnsi="方正小标宋简体" w:eastAsia="方正小标宋简体" w:cs="方正小标宋简体"/>
          <w:sz w:val="52"/>
          <w:szCs w:val="52"/>
          <w:lang w:eastAsia="zh-CN"/>
        </w:rPr>
      </w:pPr>
      <w:r>
        <w:rPr>
          <w:rFonts w:hint="eastAsia" w:ascii="方正小标宋简体" w:hAnsi="方正小标宋简体" w:eastAsia="方正小标宋简体" w:cs="方正小标宋简体"/>
          <w:sz w:val="52"/>
          <w:szCs w:val="52"/>
          <w:lang w:eastAsia="zh-CN"/>
        </w:rPr>
        <w:t>（送审稿）</w:t>
      </w:r>
    </w:p>
    <w:p>
      <w:pPr>
        <w:spacing w:line="360" w:lineRule="auto"/>
        <w:ind w:left="0" w:leftChars="0" w:firstLine="0" w:firstLineChars="0"/>
        <w:jc w:val="center"/>
        <w:rPr>
          <w:rFonts w:hint="eastAsia" w:ascii="宋体" w:hAnsi="宋体" w:eastAsia="宋体" w:cs="宋体"/>
          <w:b/>
          <w:color w:val="auto"/>
          <w:sz w:val="32"/>
          <w:highlight w:val="none"/>
          <w:lang w:val="en-US" w:eastAsia="zh-CN"/>
        </w:rPr>
      </w:pPr>
    </w:p>
    <w:p>
      <w:pPr>
        <w:spacing w:line="360" w:lineRule="auto"/>
        <w:ind w:left="0" w:leftChars="0" w:firstLine="0" w:firstLineChars="0"/>
        <w:jc w:val="center"/>
        <w:rPr>
          <w:rFonts w:hint="eastAsia" w:ascii="宋体" w:hAnsi="宋体" w:eastAsia="宋体" w:cs="宋体"/>
          <w:b/>
          <w:color w:val="auto"/>
          <w:sz w:val="32"/>
          <w:highlight w:val="none"/>
          <w:lang w:val="en-US" w:eastAsia="zh-CN"/>
        </w:rPr>
      </w:pPr>
    </w:p>
    <w:p>
      <w:pPr>
        <w:spacing w:line="360" w:lineRule="auto"/>
        <w:ind w:left="0" w:leftChars="0" w:firstLine="0" w:firstLineChars="0"/>
        <w:jc w:val="center"/>
        <w:rPr>
          <w:rFonts w:hint="eastAsia" w:ascii="宋体" w:hAnsi="宋体" w:eastAsia="宋体" w:cs="宋体"/>
          <w:b/>
          <w:color w:val="auto"/>
          <w:sz w:val="32"/>
          <w:highlight w:val="none"/>
          <w:lang w:val="en-US" w:eastAsia="zh-CN"/>
        </w:rPr>
      </w:pPr>
    </w:p>
    <w:p>
      <w:pPr>
        <w:spacing w:line="360" w:lineRule="auto"/>
        <w:ind w:left="0" w:leftChars="0" w:firstLine="0" w:firstLineChars="0"/>
        <w:jc w:val="center"/>
        <w:rPr>
          <w:rFonts w:hint="eastAsia" w:ascii="宋体" w:hAnsi="宋体" w:eastAsia="宋体" w:cs="宋体"/>
          <w:b/>
          <w:color w:val="auto"/>
          <w:sz w:val="32"/>
          <w:highlight w:val="none"/>
          <w:lang w:val="en-US" w:eastAsia="zh-CN"/>
        </w:rPr>
      </w:pPr>
    </w:p>
    <w:p>
      <w:pPr>
        <w:spacing w:line="360" w:lineRule="auto"/>
        <w:ind w:left="0" w:leftChars="0" w:firstLine="0" w:firstLineChars="0"/>
        <w:jc w:val="center"/>
        <w:rPr>
          <w:rFonts w:hint="eastAsia" w:ascii="宋体" w:hAnsi="宋体" w:eastAsia="宋体" w:cs="宋体"/>
          <w:b/>
          <w:color w:val="auto"/>
          <w:sz w:val="32"/>
          <w:highlight w:val="none"/>
          <w:lang w:val="en-US" w:eastAsia="zh-CN"/>
        </w:rPr>
      </w:pPr>
    </w:p>
    <w:p>
      <w:pPr>
        <w:spacing w:line="360" w:lineRule="auto"/>
        <w:ind w:left="0" w:leftChars="0" w:firstLine="0" w:firstLineChars="0"/>
        <w:jc w:val="center"/>
        <w:rPr>
          <w:rFonts w:hint="eastAsia" w:ascii="宋体" w:hAnsi="宋体" w:eastAsia="宋体" w:cs="宋体"/>
          <w:b/>
          <w:color w:val="auto"/>
          <w:sz w:val="32"/>
          <w:highlight w:val="none"/>
          <w:lang w:val="en-US" w:eastAsia="zh-CN"/>
        </w:rPr>
      </w:pPr>
      <w:r>
        <w:rPr>
          <w:rFonts w:hint="eastAsia" w:ascii="宋体" w:hAnsi="宋体" w:eastAsia="宋体" w:cs="宋体"/>
          <w:b/>
          <w:color w:val="auto"/>
          <w:sz w:val="32"/>
          <w:highlight w:val="none"/>
          <w:lang w:val="en-US" w:eastAsia="zh-CN"/>
        </w:rPr>
        <w:t>新丰县工业和信息化局</w:t>
      </w:r>
    </w:p>
    <w:p>
      <w:pPr>
        <w:spacing w:line="360" w:lineRule="auto"/>
        <w:ind w:left="0" w:leftChars="0" w:firstLine="0" w:firstLineChars="0"/>
        <w:jc w:val="center"/>
        <w:rPr>
          <w:rFonts w:hint="eastAsia" w:ascii="仿宋_GB2312" w:hAnsi="仿宋_GB2312" w:eastAsia="仿宋_GB2312" w:cs="仿宋_GB2312"/>
          <w:sz w:val="32"/>
          <w:szCs w:val="32"/>
          <w:lang w:eastAsia="zh-CN"/>
        </w:rPr>
      </w:pPr>
      <w:r>
        <w:rPr>
          <w:rFonts w:hint="eastAsia" w:ascii="宋体" w:hAnsi="宋体" w:eastAsia="宋体" w:cs="宋体"/>
          <w:b/>
          <w:color w:val="auto"/>
          <w:sz w:val="32"/>
          <w:highlight w:val="none"/>
        </w:rPr>
        <w:t>二〇</w:t>
      </w:r>
      <w:r>
        <w:rPr>
          <w:rFonts w:hint="eastAsia" w:ascii="宋体" w:hAnsi="宋体" w:eastAsia="宋体" w:cs="宋体"/>
          <w:b/>
          <w:color w:val="auto"/>
          <w:sz w:val="32"/>
          <w:highlight w:val="none"/>
          <w:lang w:val="en-US" w:eastAsia="zh-CN"/>
        </w:rPr>
        <w:t>二</w:t>
      </w:r>
      <w:r>
        <w:rPr>
          <w:rFonts w:hint="eastAsia" w:ascii="宋体" w:hAnsi="宋体" w:eastAsia="宋体" w:cs="宋体"/>
          <w:b/>
          <w:color w:val="auto"/>
          <w:sz w:val="32"/>
          <w:highlight w:val="none"/>
        </w:rPr>
        <w:t>〇年</w:t>
      </w:r>
      <w:r>
        <w:rPr>
          <w:rFonts w:hint="eastAsia" w:ascii="宋体" w:hAnsi="宋体" w:cs="宋体"/>
          <w:b/>
          <w:color w:val="auto"/>
          <w:sz w:val="32"/>
          <w:highlight w:val="none"/>
          <w:lang w:val="en-US" w:eastAsia="zh-CN"/>
        </w:rPr>
        <w:t>十</w:t>
      </w:r>
      <w:r>
        <w:rPr>
          <w:rFonts w:hint="eastAsia" w:ascii="宋体" w:hAnsi="宋体" w:eastAsia="宋体" w:cs="宋体"/>
          <w:b/>
          <w:color w:val="auto"/>
          <w:sz w:val="32"/>
          <w:highlight w:val="none"/>
        </w:rPr>
        <w:t>月</w:t>
      </w:r>
    </w:p>
    <w:p>
      <w:pPr>
        <w:pStyle w:val="18"/>
        <w:adjustRightInd w:val="0"/>
        <w:spacing w:line="324" w:lineRule="auto"/>
        <w:ind w:firstLine="0" w:firstLineChars="0"/>
        <w:jc w:val="center"/>
        <w:rPr>
          <w:rFonts w:ascii="黑体" w:hAnsi="黑体" w:eastAsia="黑体" w:cstheme="minorBidi"/>
          <w:b/>
          <w:bCs/>
          <w:kern w:val="44"/>
          <w:sz w:val="44"/>
          <w:szCs w:val="44"/>
        </w:rPr>
      </w:pPr>
      <w:r>
        <w:rPr>
          <w:rFonts w:hint="eastAsia" w:ascii="黑体" w:hAnsi="黑体" w:eastAsia="黑体" w:cstheme="minorBidi"/>
          <w:b/>
          <w:bCs/>
          <w:kern w:val="44"/>
          <w:sz w:val="44"/>
          <w:szCs w:val="44"/>
        </w:rPr>
        <w:t>前</w:t>
      </w:r>
      <w:r>
        <w:rPr>
          <w:rFonts w:ascii="黑体" w:hAnsi="黑体" w:eastAsia="黑体" w:cstheme="minorBidi"/>
          <w:b/>
          <w:bCs/>
          <w:kern w:val="44"/>
          <w:sz w:val="44"/>
          <w:szCs w:val="44"/>
        </w:rPr>
        <w:t xml:space="preserve"> </w:t>
      </w:r>
      <w:r>
        <w:rPr>
          <w:rFonts w:hint="eastAsia" w:ascii="黑体" w:hAnsi="黑体" w:eastAsia="黑体" w:cstheme="minorBidi"/>
          <w:b/>
          <w:bCs/>
          <w:kern w:val="44"/>
          <w:sz w:val="44"/>
          <w:szCs w:val="44"/>
        </w:rPr>
        <w:t>言</w:t>
      </w:r>
    </w:p>
    <w:p>
      <w:pPr>
        <w:bidi w:val="0"/>
      </w:pPr>
      <w:r>
        <w:rPr>
          <w:rFonts w:hint="eastAsia"/>
        </w:rPr>
        <w:t>加快电子商务与物流发展，是新丰县顺应经济全球化、促进转型升级的内在需要，是加快工业化、城镇化、信息化、农业现代化步伐以及提升区域经济实力的战略举措，有利于将现有的资源优势转变为经济优势，对促进新丰县企业、产品与市场的快速有效对接，满足和提升消费需求，助力精准脱贫有着明显的作用。</w:t>
      </w:r>
    </w:p>
    <w:p>
      <w:pPr>
        <w:bidi w:val="0"/>
        <w:sectPr>
          <w:footerReference r:id="rId3" w:type="default"/>
          <w:pgSz w:w="11906" w:h="16838"/>
          <w:pgMar w:top="2041" w:right="1474" w:bottom="1134" w:left="1587" w:header="851" w:footer="1474" w:gutter="0"/>
          <w:cols w:space="720" w:num="1"/>
          <w:docGrid w:type="linesAndChars" w:linePitch="632" w:charSpace="-1065"/>
        </w:sectPr>
      </w:pPr>
      <w:r>
        <w:rPr>
          <w:rFonts w:hint="eastAsia"/>
        </w:rPr>
        <w:t>为进一步加快推动新丰县电子商务、物流以及金融行业的发展，带动传统产业转型升级以及迅速提升农业现代化水平，培育壮大特色农业产业和文化旅游业，依据《国务院关于大力发展电子商务加快培育经济新动力的意见》、《快递进村三年行动方案（2020-2022年）》、《关于印发广东省推进电子商务与快递物流协同发展实施方案的通知》、《韶关市促进电子商务发展扶持措施》、《新丰县国民经济和社会发展第十四个五年规划基本思路》等文件，特制定《新丰县电子商务</w:t>
      </w:r>
      <w:r>
        <w:t>与</w:t>
      </w:r>
      <w:r>
        <w:rPr>
          <w:rFonts w:hint="eastAsia"/>
        </w:rPr>
        <w:t>物流“十四五”发展规划》，规划期为2021-2025年。</w:t>
      </w:r>
    </w:p>
    <w:sdt>
      <w:sdtPr>
        <w:rPr>
          <w:rFonts w:hint="eastAsia" w:ascii="黑体" w:hAnsi="黑体" w:eastAsia="黑体" w:cs="黑体"/>
          <w:b/>
          <w:bCs/>
          <w:sz w:val="44"/>
          <w:szCs w:val="44"/>
        </w:rPr>
        <w:id w:val="147453474"/>
        <w15:color w:val="DBDBDB"/>
      </w:sdtPr>
      <w:sdtEndPr>
        <w:rPr>
          <w:rFonts w:hint="eastAsia" w:ascii="宋体" w:hAnsi="宋体" w:eastAsia="宋体" w:cs="Times New Roman"/>
          <w:b/>
          <w:bCs/>
          <w:sz w:val="21"/>
          <w:szCs w:val="32"/>
        </w:rPr>
      </w:sdtEndPr>
      <w:sdtContent>
        <w:p>
          <w:pPr>
            <w:tabs>
              <w:tab w:val="left" w:pos="945"/>
              <w:tab w:val="center" w:pos="4422"/>
            </w:tabs>
            <w:snapToGrid/>
            <w:spacing w:line="240" w:lineRule="auto"/>
            <w:ind w:left="0" w:lef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pStyle w:val="9"/>
            <w:keepNext w:val="0"/>
            <w:keepLines w:val="0"/>
            <w:pageBreakBefore w:val="0"/>
            <w:widowControl w:val="0"/>
            <w:tabs>
              <w:tab w:val="right" w:leader="dot" w:pos="8845"/>
            </w:tabs>
            <w:kinsoku/>
            <w:wordWrap/>
            <w:overflowPunct/>
            <w:topLinePunct w:val="0"/>
            <w:autoSpaceDE/>
            <w:autoSpaceDN/>
            <w:bidi w:val="0"/>
            <w:adjustRightInd/>
            <w:snapToGrid/>
            <w:ind w:firstLine="0" w:firstLineChars="0"/>
            <w:textAlignment w:val="auto"/>
          </w:pPr>
          <w:r>
            <w:rPr>
              <w:rFonts w:ascii="宋体" w:hAnsi="宋体" w:eastAsia="宋体"/>
              <w:szCs w:val="32"/>
            </w:rPr>
            <w:fldChar w:fldCharType="begin"/>
          </w:r>
          <w:r>
            <w:rPr>
              <w:rFonts w:ascii="宋体" w:hAnsi="宋体" w:eastAsia="宋体"/>
              <w:szCs w:val="32"/>
            </w:rPr>
            <w:instrText xml:space="preserve">TOC \o "1-3" \h \u </w:instrText>
          </w:r>
          <w:r>
            <w:rPr>
              <w:rFonts w:ascii="宋体" w:hAnsi="宋体" w:eastAsia="宋体"/>
              <w:szCs w:val="32"/>
            </w:rPr>
            <w:fldChar w:fldCharType="separate"/>
          </w:r>
          <w:r>
            <w:rPr>
              <w:rFonts w:ascii="宋体" w:hAnsi="宋体" w:eastAsia="宋体"/>
              <w:szCs w:val="32"/>
            </w:rPr>
            <w:fldChar w:fldCharType="begin"/>
          </w:r>
          <w:r>
            <w:rPr>
              <w:rFonts w:ascii="宋体" w:hAnsi="宋体" w:eastAsia="宋体"/>
              <w:szCs w:val="32"/>
            </w:rPr>
            <w:instrText xml:space="preserve"> HYPERLINK \l _Toc5671 </w:instrText>
          </w:r>
          <w:r>
            <w:rPr>
              <w:rFonts w:ascii="宋体" w:hAnsi="宋体" w:eastAsia="宋体"/>
              <w:szCs w:val="32"/>
            </w:rPr>
            <w:fldChar w:fldCharType="separate"/>
          </w:r>
          <w:r>
            <w:rPr>
              <w:rFonts w:ascii="黑体" w:hAnsi="黑体" w:eastAsia="黑体"/>
              <w:szCs w:val="32"/>
            </w:rPr>
            <w:t xml:space="preserve">一、 </w:t>
          </w:r>
          <w:r>
            <w:rPr>
              <w:rFonts w:hint="eastAsia" w:ascii="黑体" w:hAnsi="黑体" w:eastAsia="黑体"/>
              <w:szCs w:val="32"/>
            </w:rPr>
            <w:t>发展条件</w:t>
          </w:r>
          <w:r>
            <w:tab/>
          </w:r>
          <w:r>
            <w:fldChar w:fldCharType="begin"/>
          </w:r>
          <w:r>
            <w:instrText xml:space="preserve"> PAGEREF _Toc5671 </w:instrText>
          </w:r>
          <w:r>
            <w:fldChar w:fldCharType="separate"/>
          </w:r>
          <w:r>
            <w:t>1</w:t>
          </w:r>
          <w:r>
            <w:fldChar w:fldCharType="end"/>
          </w:r>
          <w:r>
            <w:rPr>
              <w:rFonts w:ascii="宋体" w:hAnsi="宋体" w:eastAsia="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_Toc9732 </w:instrText>
          </w:r>
          <w:r>
            <w:rPr>
              <w:rFonts w:ascii="宋体" w:hAnsi="宋体"/>
              <w:szCs w:val="32"/>
            </w:rPr>
            <w:fldChar w:fldCharType="separate"/>
          </w:r>
          <w:r>
            <w:rPr>
              <w:rFonts w:hint="eastAsia" w:ascii="楷体_GB2312" w:eastAsia="楷体_GB2312"/>
              <w:bCs/>
              <w:szCs w:val="32"/>
            </w:rPr>
            <w:t>（一） 发展基础</w:t>
          </w:r>
          <w:r>
            <w:tab/>
          </w:r>
          <w:r>
            <w:fldChar w:fldCharType="begin"/>
          </w:r>
          <w:r>
            <w:instrText xml:space="preserve"> PAGEREF _Toc9732 </w:instrText>
          </w:r>
          <w:r>
            <w:fldChar w:fldCharType="separate"/>
          </w:r>
          <w:r>
            <w:t>1</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_Toc17324 </w:instrText>
          </w:r>
          <w:r>
            <w:rPr>
              <w:rFonts w:ascii="宋体" w:hAnsi="宋体"/>
              <w:szCs w:val="32"/>
            </w:rPr>
            <w:fldChar w:fldCharType="separate"/>
          </w:r>
          <w:r>
            <w:rPr>
              <w:rFonts w:hint="eastAsia" w:ascii="楷体_GB2312" w:eastAsia="楷体_GB2312"/>
              <w:bCs/>
              <w:szCs w:val="32"/>
            </w:rPr>
            <w:t>（二） 存在问题</w:t>
          </w:r>
          <w:r>
            <w:tab/>
          </w:r>
          <w:r>
            <w:fldChar w:fldCharType="begin"/>
          </w:r>
          <w:r>
            <w:instrText xml:space="preserve"> PAGEREF _Toc17324 </w:instrText>
          </w:r>
          <w:r>
            <w:fldChar w:fldCharType="separate"/>
          </w:r>
          <w:r>
            <w:t>3</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_Toc11433 </w:instrText>
          </w:r>
          <w:r>
            <w:rPr>
              <w:rFonts w:ascii="宋体" w:hAnsi="宋体"/>
              <w:szCs w:val="32"/>
            </w:rPr>
            <w:fldChar w:fldCharType="separate"/>
          </w:r>
          <w:r>
            <w:rPr>
              <w:rFonts w:hint="eastAsia" w:ascii="楷体_GB2312" w:eastAsia="楷体_GB2312"/>
              <w:bCs/>
              <w:szCs w:val="32"/>
            </w:rPr>
            <w:t>（三） 面临形势</w:t>
          </w:r>
          <w:r>
            <w:tab/>
          </w:r>
          <w:r>
            <w:fldChar w:fldCharType="begin"/>
          </w:r>
          <w:r>
            <w:instrText xml:space="preserve"> PAGEREF _Toc11433 </w:instrText>
          </w:r>
          <w:r>
            <w:fldChar w:fldCharType="separate"/>
          </w:r>
          <w:r>
            <w:t>4</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_Toc28357 </w:instrText>
          </w:r>
          <w:r>
            <w:rPr>
              <w:rFonts w:ascii="宋体" w:hAnsi="宋体"/>
              <w:szCs w:val="32"/>
            </w:rPr>
            <w:fldChar w:fldCharType="separate"/>
          </w:r>
          <w:r>
            <w:rPr>
              <w:rFonts w:hint="eastAsia" w:ascii="楷体_GB2312" w:eastAsia="楷体_GB2312"/>
              <w:bCs/>
              <w:szCs w:val="32"/>
            </w:rPr>
            <w:t>（四） 主要挑战</w:t>
          </w:r>
          <w:r>
            <w:tab/>
          </w:r>
          <w:r>
            <w:fldChar w:fldCharType="begin"/>
          </w:r>
          <w:r>
            <w:instrText xml:space="preserve"> PAGEREF _Toc28357 </w:instrText>
          </w:r>
          <w:r>
            <w:fldChar w:fldCharType="separate"/>
          </w:r>
          <w:r>
            <w:t>5</w:t>
          </w:r>
          <w:r>
            <w:fldChar w:fldCharType="end"/>
          </w:r>
          <w:r>
            <w:rPr>
              <w:rFonts w:ascii="宋体" w:hAnsi="宋体"/>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_Toc10340 </w:instrText>
          </w:r>
          <w:r>
            <w:rPr>
              <w:rFonts w:ascii="宋体" w:hAnsi="宋体"/>
              <w:szCs w:val="32"/>
            </w:rPr>
            <w:fldChar w:fldCharType="separate"/>
          </w:r>
          <w:r>
            <w:rPr>
              <w:rFonts w:ascii="黑体" w:hAnsi="黑体" w:eastAsia="黑体"/>
              <w:szCs w:val="32"/>
            </w:rPr>
            <w:t xml:space="preserve">二、 </w:t>
          </w:r>
          <w:r>
            <w:rPr>
              <w:rFonts w:hint="eastAsia" w:ascii="黑体" w:hAnsi="黑体" w:eastAsia="黑体"/>
              <w:szCs w:val="32"/>
            </w:rPr>
            <w:t>总体思路</w:t>
          </w:r>
          <w:r>
            <w:tab/>
          </w:r>
          <w:r>
            <w:fldChar w:fldCharType="begin"/>
          </w:r>
          <w:r>
            <w:instrText xml:space="preserve"> PAGEREF _Toc10340 </w:instrText>
          </w:r>
          <w:r>
            <w:fldChar w:fldCharType="separate"/>
          </w:r>
          <w:r>
            <w:t>6</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_Toc22044 </w:instrText>
          </w:r>
          <w:r>
            <w:rPr>
              <w:rFonts w:ascii="宋体" w:hAnsi="宋体"/>
              <w:szCs w:val="32"/>
            </w:rPr>
            <w:fldChar w:fldCharType="separate"/>
          </w:r>
          <w:r>
            <w:rPr>
              <w:rFonts w:hint="eastAsia" w:ascii="楷体_GB2312" w:eastAsia="楷体_GB2312"/>
              <w:bCs/>
              <w:szCs w:val="32"/>
            </w:rPr>
            <w:t>（一） 指导思想</w:t>
          </w:r>
          <w:r>
            <w:tab/>
          </w:r>
          <w:r>
            <w:fldChar w:fldCharType="begin"/>
          </w:r>
          <w:r>
            <w:instrText xml:space="preserve"> PAGEREF _Toc22044 </w:instrText>
          </w:r>
          <w:r>
            <w:fldChar w:fldCharType="separate"/>
          </w:r>
          <w:r>
            <w:t>6</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_Toc28136 </w:instrText>
          </w:r>
          <w:r>
            <w:rPr>
              <w:rFonts w:ascii="宋体" w:hAnsi="宋体"/>
              <w:szCs w:val="32"/>
            </w:rPr>
            <w:fldChar w:fldCharType="separate"/>
          </w:r>
          <w:r>
            <w:rPr>
              <w:rFonts w:hint="eastAsia" w:ascii="楷体_GB2312" w:eastAsia="楷体_GB2312"/>
              <w:bCs/>
              <w:szCs w:val="32"/>
            </w:rPr>
            <w:t>（二） 发展原则</w:t>
          </w:r>
          <w:r>
            <w:tab/>
          </w:r>
          <w:r>
            <w:fldChar w:fldCharType="begin"/>
          </w:r>
          <w:r>
            <w:instrText xml:space="preserve"> PAGEREF _Toc28136 </w:instrText>
          </w:r>
          <w:r>
            <w:fldChar w:fldCharType="separate"/>
          </w:r>
          <w:r>
            <w:t>7</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_Toc29085 </w:instrText>
          </w:r>
          <w:r>
            <w:rPr>
              <w:rFonts w:ascii="宋体" w:hAnsi="宋体"/>
              <w:szCs w:val="32"/>
            </w:rPr>
            <w:fldChar w:fldCharType="separate"/>
          </w:r>
          <w:r>
            <w:rPr>
              <w:rFonts w:hint="eastAsia" w:ascii="楷体_GB2312" w:eastAsia="楷体_GB2312"/>
              <w:bCs/>
              <w:szCs w:val="32"/>
            </w:rPr>
            <w:t>（三） 发展目标</w:t>
          </w:r>
          <w:r>
            <w:tab/>
          </w:r>
          <w:r>
            <w:fldChar w:fldCharType="begin"/>
          </w:r>
          <w:r>
            <w:instrText xml:space="preserve"> PAGEREF _Toc29085 </w:instrText>
          </w:r>
          <w:r>
            <w:fldChar w:fldCharType="separate"/>
          </w:r>
          <w:r>
            <w:t>7</w:t>
          </w:r>
          <w:r>
            <w:fldChar w:fldCharType="end"/>
          </w:r>
          <w:r>
            <w:rPr>
              <w:rFonts w:ascii="宋体" w:hAnsi="宋体"/>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_Toc15205 </w:instrText>
          </w:r>
          <w:r>
            <w:rPr>
              <w:rFonts w:ascii="宋体" w:hAnsi="宋体"/>
              <w:szCs w:val="32"/>
            </w:rPr>
            <w:fldChar w:fldCharType="separate"/>
          </w:r>
          <w:r>
            <w:rPr>
              <w:rFonts w:ascii="黑体" w:hAnsi="黑体" w:eastAsia="黑体"/>
              <w:szCs w:val="32"/>
            </w:rPr>
            <w:t xml:space="preserve">三、 </w:t>
          </w:r>
          <w:r>
            <w:rPr>
              <w:rFonts w:hint="eastAsia" w:ascii="黑体" w:hAnsi="黑体" w:eastAsia="黑体"/>
              <w:szCs w:val="32"/>
            </w:rPr>
            <w:t>空间布局</w:t>
          </w:r>
          <w:r>
            <w:tab/>
          </w:r>
          <w:r>
            <w:fldChar w:fldCharType="begin"/>
          </w:r>
          <w:r>
            <w:instrText xml:space="preserve"> PAGEREF _Toc15205 </w:instrText>
          </w:r>
          <w:r>
            <w:fldChar w:fldCharType="separate"/>
          </w:r>
          <w:r>
            <w:t>9</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_Toc31939 </w:instrText>
          </w:r>
          <w:r>
            <w:rPr>
              <w:rFonts w:ascii="宋体" w:hAnsi="宋体"/>
              <w:szCs w:val="32"/>
            </w:rPr>
            <w:fldChar w:fldCharType="separate"/>
          </w:r>
          <w:r>
            <w:rPr>
              <w:rFonts w:hint="eastAsia" w:ascii="楷体_GB2312" w:eastAsia="楷体_GB2312"/>
              <w:bCs/>
              <w:szCs w:val="32"/>
            </w:rPr>
            <w:t>（一） 总体布局</w:t>
          </w:r>
          <w:r>
            <w:tab/>
          </w:r>
          <w:r>
            <w:fldChar w:fldCharType="begin"/>
          </w:r>
          <w:r>
            <w:instrText xml:space="preserve"> PAGEREF _Toc31939 </w:instrText>
          </w:r>
          <w:r>
            <w:fldChar w:fldCharType="separate"/>
          </w:r>
          <w:r>
            <w:t>9</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_Toc17462 </w:instrText>
          </w:r>
          <w:r>
            <w:rPr>
              <w:rFonts w:ascii="宋体" w:hAnsi="宋体"/>
              <w:szCs w:val="32"/>
            </w:rPr>
            <w:fldChar w:fldCharType="separate"/>
          </w:r>
          <w:r>
            <w:rPr>
              <w:rFonts w:hint="eastAsia" w:ascii="楷体_GB2312" w:eastAsia="楷体_GB2312"/>
              <w:bCs/>
              <w:szCs w:val="32"/>
            </w:rPr>
            <w:t>（二） “</w:t>
          </w:r>
          <w:r>
            <w:rPr>
              <w:rFonts w:hint="default" w:ascii="Times New Roman" w:hAnsi="Times New Roman" w:eastAsia="楷体_GB2312" w:cs="Times New Roman"/>
              <w:bCs/>
              <w:szCs w:val="32"/>
            </w:rPr>
            <w:t>1+6+100</w:t>
          </w:r>
          <w:r>
            <w:rPr>
              <w:rFonts w:hint="eastAsia" w:ascii="楷体_GB2312" w:eastAsia="楷体_GB2312"/>
              <w:bCs/>
              <w:szCs w:val="32"/>
            </w:rPr>
            <w:t>”节点布局</w:t>
          </w:r>
          <w:r>
            <w:tab/>
          </w:r>
          <w:r>
            <w:fldChar w:fldCharType="begin"/>
          </w:r>
          <w:r>
            <w:instrText xml:space="preserve"> PAGEREF _Toc17462 </w:instrText>
          </w:r>
          <w:r>
            <w:fldChar w:fldCharType="separate"/>
          </w:r>
          <w:r>
            <w:t>11</w:t>
          </w:r>
          <w:r>
            <w:fldChar w:fldCharType="end"/>
          </w:r>
          <w:r>
            <w:rPr>
              <w:rFonts w:ascii="宋体" w:hAnsi="宋体"/>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_Toc21541 </w:instrText>
          </w:r>
          <w:r>
            <w:rPr>
              <w:rFonts w:ascii="宋体" w:hAnsi="宋体"/>
              <w:szCs w:val="32"/>
            </w:rPr>
            <w:fldChar w:fldCharType="separate"/>
          </w:r>
          <w:r>
            <w:rPr>
              <w:rFonts w:ascii="黑体" w:hAnsi="黑体" w:eastAsia="黑体"/>
              <w:szCs w:val="32"/>
            </w:rPr>
            <w:t xml:space="preserve">四、 </w:t>
          </w:r>
          <w:r>
            <w:rPr>
              <w:rFonts w:hint="eastAsia" w:ascii="黑体" w:hAnsi="黑体" w:eastAsia="黑体"/>
              <w:szCs w:val="32"/>
            </w:rPr>
            <w:t>发展重点</w:t>
          </w:r>
          <w:r>
            <w:tab/>
          </w:r>
          <w:r>
            <w:fldChar w:fldCharType="begin"/>
          </w:r>
          <w:r>
            <w:instrText xml:space="preserve"> PAGEREF _Toc21541 </w:instrText>
          </w:r>
          <w:r>
            <w:fldChar w:fldCharType="separate"/>
          </w:r>
          <w:r>
            <w:t>12</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_Toc5810 </w:instrText>
          </w:r>
          <w:r>
            <w:rPr>
              <w:rFonts w:ascii="宋体" w:hAnsi="宋体"/>
              <w:szCs w:val="32"/>
            </w:rPr>
            <w:fldChar w:fldCharType="separate"/>
          </w:r>
          <w:r>
            <w:rPr>
              <w:rFonts w:hint="eastAsia" w:ascii="楷体_GB2312" w:eastAsia="楷体_GB2312"/>
              <w:bCs/>
              <w:szCs w:val="32"/>
            </w:rPr>
            <w:t xml:space="preserve">（一） </w:t>
          </w:r>
          <w:r>
            <w:rPr>
              <w:rFonts w:ascii="楷体_GB2312" w:eastAsia="楷体_GB2312"/>
              <w:bCs/>
              <w:szCs w:val="32"/>
            </w:rPr>
            <w:t>普及</w:t>
          </w:r>
          <w:r>
            <w:rPr>
              <w:rFonts w:hint="eastAsia" w:ascii="楷体_GB2312" w:eastAsia="楷体_GB2312"/>
              <w:bCs/>
              <w:szCs w:val="32"/>
            </w:rPr>
            <w:t>“</w:t>
          </w:r>
          <w:r>
            <w:rPr>
              <w:rFonts w:ascii="楷体_GB2312" w:eastAsia="楷体_GB2312"/>
              <w:bCs/>
              <w:szCs w:val="32"/>
            </w:rPr>
            <w:t>互联网+</w:t>
          </w:r>
          <w:r>
            <w:rPr>
              <w:rFonts w:hint="eastAsia" w:ascii="楷体_GB2312" w:eastAsia="楷体_GB2312"/>
              <w:bCs/>
              <w:szCs w:val="32"/>
            </w:rPr>
            <w:t>”，引导产业融合</w:t>
          </w:r>
          <w:r>
            <w:tab/>
          </w:r>
          <w:r>
            <w:fldChar w:fldCharType="begin"/>
          </w:r>
          <w:r>
            <w:instrText xml:space="preserve"> PAGEREF _Toc5810 </w:instrText>
          </w:r>
          <w:r>
            <w:fldChar w:fldCharType="separate"/>
          </w:r>
          <w:r>
            <w:t>12</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_Toc18542 </w:instrText>
          </w:r>
          <w:r>
            <w:rPr>
              <w:rFonts w:ascii="宋体" w:hAnsi="宋体"/>
              <w:szCs w:val="32"/>
            </w:rPr>
            <w:fldChar w:fldCharType="separate"/>
          </w:r>
          <w:r>
            <w:rPr>
              <w:rFonts w:hint="eastAsia" w:ascii="楷体_GB2312" w:eastAsia="楷体_GB2312"/>
              <w:bCs/>
              <w:szCs w:val="32"/>
            </w:rPr>
            <w:t xml:space="preserve">（二） </w:t>
          </w:r>
          <w:r>
            <w:rPr>
              <w:rFonts w:ascii="楷体_GB2312" w:eastAsia="楷体_GB2312"/>
              <w:bCs/>
              <w:szCs w:val="32"/>
            </w:rPr>
            <w:t>强化</w:t>
          </w:r>
          <w:r>
            <w:rPr>
              <w:rFonts w:hint="eastAsia" w:ascii="楷体_GB2312" w:eastAsia="楷体_GB2312"/>
              <w:bCs/>
              <w:szCs w:val="32"/>
            </w:rPr>
            <w:t>要素支撑</w:t>
          </w:r>
          <w:r>
            <w:rPr>
              <w:rFonts w:ascii="楷体_GB2312" w:eastAsia="楷体_GB2312"/>
              <w:bCs/>
              <w:szCs w:val="32"/>
            </w:rPr>
            <w:t>，</w:t>
          </w:r>
          <w:r>
            <w:rPr>
              <w:rFonts w:hint="eastAsia" w:ascii="楷体_GB2312" w:eastAsia="楷体_GB2312"/>
              <w:bCs/>
              <w:szCs w:val="32"/>
            </w:rPr>
            <w:t>升级配套体系</w:t>
          </w:r>
          <w:r>
            <w:tab/>
          </w:r>
          <w:r>
            <w:fldChar w:fldCharType="begin"/>
          </w:r>
          <w:r>
            <w:instrText xml:space="preserve"> PAGEREF _Toc18542 </w:instrText>
          </w:r>
          <w:r>
            <w:fldChar w:fldCharType="separate"/>
          </w:r>
          <w:r>
            <w:t>13</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_Toc5566 </w:instrText>
          </w:r>
          <w:r>
            <w:rPr>
              <w:rFonts w:ascii="宋体" w:hAnsi="宋体"/>
              <w:szCs w:val="32"/>
            </w:rPr>
            <w:fldChar w:fldCharType="separate"/>
          </w:r>
          <w:r>
            <w:rPr>
              <w:rFonts w:hint="eastAsia" w:ascii="楷体_GB2312" w:eastAsia="楷体_GB2312"/>
              <w:bCs/>
              <w:szCs w:val="32"/>
            </w:rPr>
            <w:t>（三） 加快园区建设，促进产业集聚</w:t>
          </w:r>
          <w:r>
            <w:tab/>
          </w:r>
          <w:r>
            <w:fldChar w:fldCharType="begin"/>
          </w:r>
          <w:r>
            <w:instrText xml:space="preserve"> PAGEREF _Toc5566 </w:instrText>
          </w:r>
          <w:r>
            <w:fldChar w:fldCharType="separate"/>
          </w:r>
          <w:r>
            <w:t>14</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_Toc23089 </w:instrText>
          </w:r>
          <w:r>
            <w:rPr>
              <w:rFonts w:ascii="宋体" w:hAnsi="宋体"/>
              <w:szCs w:val="32"/>
            </w:rPr>
            <w:fldChar w:fldCharType="separate"/>
          </w:r>
          <w:r>
            <w:rPr>
              <w:rFonts w:hint="eastAsia" w:ascii="楷体_GB2312" w:eastAsia="楷体_GB2312"/>
              <w:bCs/>
              <w:szCs w:val="32"/>
            </w:rPr>
            <w:t>（四） 培育龙头企业，</w:t>
          </w:r>
          <w:r>
            <w:rPr>
              <w:rFonts w:ascii="楷体_GB2312" w:eastAsia="楷体_GB2312"/>
              <w:bCs/>
              <w:szCs w:val="32"/>
            </w:rPr>
            <w:t>推动强链补链</w:t>
          </w:r>
          <w:r>
            <w:tab/>
          </w:r>
          <w:r>
            <w:fldChar w:fldCharType="begin"/>
          </w:r>
          <w:r>
            <w:instrText xml:space="preserve"> PAGEREF _Toc23089 </w:instrText>
          </w:r>
          <w:r>
            <w:fldChar w:fldCharType="separate"/>
          </w:r>
          <w:r>
            <w:t>15</w:t>
          </w:r>
          <w:r>
            <w:fldChar w:fldCharType="end"/>
          </w:r>
          <w:r>
            <w:rPr>
              <w:rFonts w:ascii="宋体" w:hAnsi="宋体"/>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_Toc19424 </w:instrText>
          </w:r>
          <w:r>
            <w:rPr>
              <w:rFonts w:ascii="宋体" w:hAnsi="宋体"/>
              <w:szCs w:val="32"/>
            </w:rPr>
            <w:fldChar w:fldCharType="separate"/>
          </w:r>
          <w:r>
            <w:rPr>
              <w:rFonts w:ascii="黑体" w:hAnsi="黑体" w:eastAsia="黑体"/>
              <w:szCs w:val="32"/>
            </w:rPr>
            <w:t xml:space="preserve">五、 </w:t>
          </w:r>
          <w:r>
            <w:rPr>
              <w:rFonts w:hint="eastAsia" w:ascii="黑体" w:hAnsi="黑体" w:eastAsia="黑体"/>
              <w:szCs w:val="32"/>
            </w:rPr>
            <w:t>保障措施</w:t>
          </w:r>
          <w:r>
            <w:tab/>
          </w:r>
          <w:r>
            <w:fldChar w:fldCharType="begin"/>
          </w:r>
          <w:r>
            <w:instrText xml:space="preserve"> PAGEREF _Toc19424 </w:instrText>
          </w:r>
          <w:r>
            <w:fldChar w:fldCharType="separate"/>
          </w:r>
          <w:r>
            <w:t>16</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_Toc11569 </w:instrText>
          </w:r>
          <w:r>
            <w:rPr>
              <w:rFonts w:ascii="宋体" w:hAnsi="宋体"/>
              <w:szCs w:val="32"/>
            </w:rPr>
            <w:fldChar w:fldCharType="separate"/>
          </w:r>
          <w:r>
            <w:rPr>
              <w:rFonts w:hint="eastAsia" w:ascii="楷体_GB2312" w:eastAsia="楷体_GB2312"/>
              <w:bCs/>
              <w:szCs w:val="32"/>
            </w:rPr>
            <w:t xml:space="preserve">（一） </w:t>
          </w:r>
          <w:r>
            <w:rPr>
              <w:rFonts w:ascii="楷体_GB2312" w:eastAsia="楷体_GB2312"/>
              <w:bCs/>
              <w:szCs w:val="32"/>
            </w:rPr>
            <w:t>规范</w:t>
          </w:r>
          <w:r>
            <w:rPr>
              <w:rFonts w:hint="eastAsia" w:ascii="楷体_GB2312" w:eastAsia="楷体_GB2312"/>
              <w:bCs/>
              <w:szCs w:val="32"/>
            </w:rPr>
            <w:t>组织领导</w:t>
          </w:r>
          <w:r>
            <w:tab/>
          </w:r>
          <w:r>
            <w:fldChar w:fldCharType="begin"/>
          </w:r>
          <w:r>
            <w:instrText xml:space="preserve"> PAGEREF _Toc11569 </w:instrText>
          </w:r>
          <w:r>
            <w:fldChar w:fldCharType="separate"/>
          </w:r>
          <w:r>
            <w:t>16</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_Toc19412 </w:instrText>
          </w:r>
          <w:r>
            <w:rPr>
              <w:rFonts w:ascii="宋体" w:hAnsi="宋体"/>
              <w:szCs w:val="32"/>
            </w:rPr>
            <w:fldChar w:fldCharType="separate"/>
          </w:r>
          <w:r>
            <w:rPr>
              <w:rFonts w:hint="eastAsia" w:ascii="楷体_GB2312" w:eastAsia="楷体_GB2312"/>
              <w:bCs/>
              <w:szCs w:val="32"/>
            </w:rPr>
            <w:t>（二） 加大政策扶持</w:t>
          </w:r>
          <w:r>
            <w:tab/>
          </w:r>
          <w:r>
            <w:fldChar w:fldCharType="begin"/>
          </w:r>
          <w:r>
            <w:instrText xml:space="preserve"> PAGEREF _Toc19412 </w:instrText>
          </w:r>
          <w:r>
            <w:fldChar w:fldCharType="separate"/>
          </w:r>
          <w:r>
            <w:t>16</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_Toc14102 </w:instrText>
          </w:r>
          <w:r>
            <w:rPr>
              <w:rFonts w:ascii="宋体" w:hAnsi="宋体"/>
              <w:szCs w:val="32"/>
            </w:rPr>
            <w:fldChar w:fldCharType="separate"/>
          </w:r>
          <w:r>
            <w:rPr>
              <w:rFonts w:hint="eastAsia" w:ascii="楷体_GB2312" w:eastAsia="楷体_GB2312"/>
              <w:bCs/>
              <w:szCs w:val="32"/>
            </w:rPr>
            <w:t>（三） 强化市场监管</w:t>
          </w:r>
          <w:r>
            <w:tab/>
          </w:r>
          <w:r>
            <w:fldChar w:fldCharType="begin"/>
          </w:r>
          <w:r>
            <w:instrText xml:space="preserve"> PAGEREF _Toc14102 </w:instrText>
          </w:r>
          <w:r>
            <w:fldChar w:fldCharType="separate"/>
          </w:r>
          <w:r>
            <w:t>17</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_Toc13054 </w:instrText>
          </w:r>
          <w:r>
            <w:rPr>
              <w:rFonts w:ascii="宋体" w:hAnsi="宋体"/>
              <w:szCs w:val="32"/>
            </w:rPr>
            <w:fldChar w:fldCharType="separate"/>
          </w:r>
          <w:r>
            <w:rPr>
              <w:rFonts w:hint="eastAsia" w:ascii="楷体_GB2312" w:eastAsia="楷体_GB2312"/>
              <w:bCs/>
              <w:szCs w:val="32"/>
            </w:rPr>
            <w:t xml:space="preserve">（四） </w:t>
          </w:r>
          <w:r>
            <w:rPr>
              <w:rFonts w:ascii="楷体_GB2312" w:eastAsia="楷体_GB2312"/>
              <w:bCs/>
              <w:szCs w:val="32"/>
            </w:rPr>
            <w:t>积极</w:t>
          </w:r>
          <w:r>
            <w:rPr>
              <w:rFonts w:hint="eastAsia" w:ascii="楷体_GB2312" w:eastAsia="楷体_GB2312"/>
              <w:bCs/>
              <w:szCs w:val="32"/>
            </w:rPr>
            <w:t>宣传推广</w:t>
          </w:r>
          <w:r>
            <w:tab/>
          </w:r>
          <w:r>
            <w:fldChar w:fldCharType="begin"/>
          </w:r>
          <w:r>
            <w:instrText xml:space="preserve"> PAGEREF _Toc13054 </w:instrText>
          </w:r>
          <w:r>
            <w:fldChar w:fldCharType="separate"/>
          </w:r>
          <w:r>
            <w:t>17</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_Toc3243 </w:instrText>
          </w:r>
          <w:r>
            <w:rPr>
              <w:rFonts w:ascii="宋体" w:hAnsi="宋体"/>
              <w:szCs w:val="32"/>
            </w:rPr>
            <w:fldChar w:fldCharType="separate"/>
          </w:r>
          <w:r>
            <w:rPr>
              <w:rFonts w:hint="eastAsia" w:ascii="楷体_GB2312" w:eastAsia="楷体_GB2312"/>
              <w:bCs/>
              <w:szCs w:val="32"/>
            </w:rPr>
            <w:t xml:space="preserve">（五） </w:t>
          </w:r>
          <w:r>
            <w:rPr>
              <w:rFonts w:ascii="楷体_GB2312" w:eastAsia="楷体_GB2312"/>
              <w:bCs/>
              <w:szCs w:val="32"/>
            </w:rPr>
            <w:t>拓展</w:t>
          </w:r>
          <w:r>
            <w:rPr>
              <w:rFonts w:hint="eastAsia" w:ascii="楷体_GB2312" w:eastAsia="楷体_GB2312"/>
              <w:bCs/>
              <w:szCs w:val="32"/>
            </w:rPr>
            <w:t>资金</w:t>
          </w:r>
          <w:r>
            <w:rPr>
              <w:rFonts w:ascii="楷体_GB2312" w:eastAsia="楷体_GB2312"/>
              <w:bCs/>
              <w:szCs w:val="32"/>
            </w:rPr>
            <w:t>渠道</w:t>
          </w:r>
          <w:r>
            <w:tab/>
          </w:r>
          <w:r>
            <w:fldChar w:fldCharType="begin"/>
          </w:r>
          <w:r>
            <w:instrText xml:space="preserve"> PAGEREF _Toc3243 </w:instrText>
          </w:r>
          <w:r>
            <w:fldChar w:fldCharType="separate"/>
          </w:r>
          <w:r>
            <w:t>18</w:t>
          </w:r>
          <w:r>
            <w:fldChar w:fldCharType="end"/>
          </w:r>
          <w:r>
            <w:rPr>
              <w:rFonts w:ascii="宋体" w:hAnsi="宋体"/>
              <w:szCs w:val="32"/>
            </w:rPr>
            <w:fldChar w:fldCharType="end"/>
          </w:r>
        </w:p>
        <w:p>
          <w:pPr>
            <w:pStyle w:val="10"/>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_Toc17448 </w:instrText>
          </w:r>
          <w:r>
            <w:rPr>
              <w:rFonts w:ascii="宋体" w:hAnsi="宋体"/>
              <w:szCs w:val="32"/>
            </w:rPr>
            <w:fldChar w:fldCharType="separate"/>
          </w:r>
          <w:r>
            <w:rPr>
              <w:rFonts w:hint="eastAsia" w:ascii="楷体_GB2312" w:eastAsia="楷体_GB2312"/>
              <w:bCs/>
              <w:szCs w:val="32"/>
            </w:rPr>
            <w:t xml:space="preserve">（六） </w:t>
          </w:r>
          <w:r>
            <w:rPr>
              <w:rFonts w:ascii="楷体_GB2312" w:eastAsia="楷体_GB2312"/>
              <w:bCs/>
              <w:szCs w:val="32"/>
            </w:rPr>
            <w:t>加强</w:t>
          </w:r>
          <w:r>
            <w:rPr>
              <w:rFonts w:hint="eastAsia" w:ascii="楷体_GB2312" w:eastAsia="楷体_GB2312"/>
              <w:bCs/>
              <w:szCs w:val="32"/>
            </w:rPr>
            <w:t>土地保障</w:t>
          </w:r>
          <w:r>
            <w:tab/>
          </w:r>
          <w:r>
            <w:fldChar w:fldCharType="begin"/>
          </w:r>
          <w:r>
            <w:instrText xml:space="preserve"> PAGEREF _Toc17448 </w:instrText>
          </w:r>
          <w:r>
            <w:fldChar w:fldCharType="separate"/>
          </w:r>
          <w:r>
            <w:t>18</w:t>
          </w:r>
          <w:r>
            <w:fldChar w:fldCharType="end"/>
          </w:r>
          <w:r>
            <w:rPr>
              <w:rFonts w:ascii="宋体" w:hAnsi="宋体"/>
              <w:szCs w:val="32"/>
            </w:rPr>
            <w:fldChar w:fldCharType="end"/>
          </w:r>
        </w:p>
        <w:p>
          <w:pPr>
            <w:pStyle w:val="9"/>
            <w:keepNext w:val="0"/>
            <w:keepLines w:val="0"/>
            <w:pageBreakBefore w:val="0"/>
            <w:widowControl w:val="0"/>
            <w:tabs>
              <w:tab w:val="right" w:leader="dot" w:pos="8845"/>
            </w:tabs>
            <w:kinsoku/>
            <w:wordWrap/>
            <w:overflowPunct/>
            <w:topLinePunct w:val="0"/>
            <w:autoSpaceDE/>
            <w:autoSpaceDN/>
            <w:bidi w:val="0"/>
            <w:snapToGrid/>
            <w:ind w:firstLine="0" w:firstLineChars="0"/>
            <w:textAlignment w:val="auto"/>
          </w:pPr>
          <w:r>
            <w:rPr>
              <w:rFonts w:ascii="宋体" w:hAnsi="宋体"/>
              <w:szCs w:val="32"/>
            </w:rPr>
            <w:fldChar w:fldCharType="begin"/>
          </w:r>
          <w:r>
            <w:rPr>
              <w:rFonts w:ascii="宋体" w:hAnsi="宋体"/>
              <w:szCs w:val="32"/>
            </w:rPr>
            <w:instrText xml:space="preserve"> HYPERLINK \l _Toc2576 </w:instrText>
          </w:r>
          <w:r>
            <w:rPr>
              <w:rFonts w:ascii="宋体" w:hAnsi="宋体"/>
              <w:szCs w:val="32"/>
            </w:rPr>
            <w:fldChar w:fldCharType="separate"/>
          </w:r>
          <w:r>
            <w:rPr>
              <w:rFonts w:hint="eastAsia" w:ascii="黑体" w:hAnsi="黑体" w:eastAsia="黑体"/>
              <w:szCs w:val="32"/>
              <w:lang w:val="en-US" w:eastAsia="zh-CN"/>
            </w:rPr>
            <w:t>附件</w:t>
          </w:r>
          <w:r>
            <w:tab/>
          </w:r>
          <w:r>
            <w:fldChar w:fldCharType="begin"/>
          </w:r>
          <w:r>
            <w:instrText xml:space="preserve"> PAGEREF _Toc2576 </w:instrText>
          </w:r>
          <w:r>
            <w:fldChar w:fldCharType="separate"/>
          </w:r>
          <w:r>
            <w:t>19</w:t>
          </w:r>
          <w:r>
            <w:fldChar w:fldCharType="end"/>
          </w:r>
          <w:r>
            <w:rPr>
              <w:rFonts w:ascii="宋体" w:hAnsi="宋体"/>
              <w:szCs w:val="32"/>
            </w:rPr>
            <w:fldChar w:fldCharType="end"/>
          </w:r>
        </w:p>
        <w:p>
          <w:pPr>
            <w:pStyle w:val="18"/>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Times New Roman"/>
              <w:b/>
              <w:bCs/>
              <w:sz w:val="21"/>
              <w:szCs w:val="32"/>
            </w:rPr>
          </w:pPr>
          <w:r>
            <w:rPr>
              <w:rFonts w:ascii="宋体" w:hAnsi="宋体"/>
              <w:szCs w:val="32"/>
            </w:rPr>
            <w:fldChar w:fldCharType="end"/>
          </w:r>
        </w:p>
      </w:sdtContent>
    </w:sdt>
    <w:p>
      <w:pPr>
        <w:pStyle w:val="18"/>
        <w:keepNext w:val="0"/>
        <w:keepLines w:val="0"/>
        <w:pageBreakBefore w:val="0"/>
        <w:widowControl w:val="0"/>
        <w:kinsoku/>
        <w:wordWrap/>
        <w:overflowPunct/>
        <w:topLinePunct w:val="0"/>
        <w:autoSpaceDE/>
        <w:autoSpaceDN/>
        <w:bidi w:val="0"/>
        <w:adjustRightInd w:val="0"/>
        <w:snapToGrid/>
        <w:ind w:firstLine="0" w:firstLineChars="0"/>
        <w:jc w:val="both"/>
        <w:textAlignment w:val="auto"/>
        <w:rPr>
          <w:rFonts w:hint="eastAsia" w:ascii="宋体" w:hAnsi="宋体" w:eastAsia="宋体" w:cs="Times New Roman"/>
          <w:b/>
          <w:bCs/>
          <w:sz w:val="21"/>
          <w:szCs w:val="32"/>
        </w:rPr>
        <w:sectPr>
          <w:footerReference r:id="rId5" w:type="first"/>
          <w:footerReference r:id="rId4" w:type="default"/>
          <w:pgSz w:w="11906" w:h="16838"/>
          <w:pgMar w:top="2041" w:right="1474" w:bottom="1134" w:left="1587" w:header="851" w:footer="1474" w:gutter="0"/>
          <w:cols w:space="720" w:num="1"/>
          <w:titlePg/>
          <w:docGrid w:type="linesAndChars" w:linePitch="632" w:charSpace="-1065"/>
        </w:sectPr>
      </w:pPr>
    </w:p>
    <w:p>
      <w:pPr>
        <w:numPr>
          <w:ilvl w:val="0"/>
          <w:numId w:val="1"/>
        </w:numPr>
        <w:adjustRightInd w:val="0"/>
        <w:snapToGrid/>
        <w:spacing w:line="324" w:lineRule="auto"/>
        <w:ind w:firstLine="630" w:firstLineChars="200"/>
        <w:outlineLvl w:val="0"/>
        <w:rPr>
          <w:rFonts w:ascii="黑体" w:hAnsi="黑体" w:eastAsia="黑体"/>
          <w:b/>
          <w:color w:val="000000"/>
          <w:szCs w:val="32"/>
        </w:rPr>
      </w:pPr>
      <w:bookmarkStart w:id="0" w:name="_Toc5671"/>
      <w:bookmarkStart w:id="1" w:name="_Toc10533"/>
      <w:bookmarkStart w:id="2" w:name="_Toc29753"/>
      <w:r>
        <w:rPr>
          <w:rFonts w:hint="eastAsia" w:ascii="黑体" w:hAnsi="黑体" w:eastAsia="黑体"/>
          <w:b/>
          <w:color w:val="000000"/>
          <w:szCs w:val="32"/>
        </w:rPr>
        <w:t>发展条件</w:t>
      </w:r>
      <w:bookmarkEnd w:id="0"/>
    </w:p>
    <w:p>
      <w:pPr>
        <w:numPr>
          <w:ilvl w:val="0"/>
          <w:numId w:val="2"/>
        </w:numPr>
        <w:adjustRightInd w:val="0"/>
        <w:snapToGrid/>
        <w:spacing w:line="240" w:lineRule="auto"/>
        <w:outlineLvl w:val="1"/>
        <w:rPr>
          <w:rFonts w:ascii="楷体_GB2312" w:eastAsia="楷体_GB2312"/>
          <w:b/>
          <w:bCs/>
          <w:color w:val="000000"/>
          <w:szCs w:val="32"/>
        </w:rPr>
      </w:pPr>
      <w:bookmarkStart w:id="3" w:name="_Toc9732"/>
      <w:r>
        <w:rPr>
          <w:rFonts w:hint="eastAsia" w:ascii="楷体_GB2312" w:eastAsia="楷体_GB2312"/>
          <w:b/>
          <w:bCs/>
          <w:color w:val="000000"/>
          <w:szCs w:val="32"/>
        </w:rPr>
        <w:t>发展基础</w:t>
      </w:r>
      <w:bookmarkEnd w:id="3"/>
    </w:p>
    <w:p>
      <w:pPr>
        <w:bidi w:val="0"/>
      </w:pPr>
      <w:r>
        <w:t>“</w:t>
      </w:r>
      <w:r>
        <w:rPr>
          <w:rFonts w:hint="eastAsia"/>
        </w:rPr>
        <w:t>十三五”以来，新丰县大力发展电子商务与物流，优化配套基础设施，建设</w:t>
      </w:r>
      <w:bookmarkStart w:id="4" w:name="OLE_LINK88"/>
      <w:r>
        <w:rPr>
          <w:rFonts w:hint="eastAsia"/>
        </w:rPr>
        <w:t>现代物流体系</w:t>
      </w:r>
      <w:bookmarkEnd w:id="4"/>
      <w:r>
        <w:rPr>
          <w:rFonts w:hint="eastAsia"/>
        </w:rPr>
        <w:t>，强化金融扶持功能，紧扣“电子商务进农村省级综合示范县”目标，初步建成三级电商物流服务体系，助力脱贫攻坚和乡村振兴战略落实，为新丰县经济社会进一步发展夯实了基础。</w:t>
      </w:r>
    </w:p>
    <w:p>
      <w:pPr>
        <w:bidi w:val="0"/>
      </w:pPr>
      <w:r>
        <w:rPr>
          <w:rFonts w:hint="eastAsia"/>
          <w:b/>
          <w:bCs/>
        </w:rPr>
        <w:t>各项指标</w:t>
      </w:r>
      <w:r>
        <w:rPr>
          <w:b/>
          <w:bCs/>
        </w:rPr>
        <w:t>较快增长。</w:t>
      </w:r>
      <w:r>
        <w:rPr>
          <w:rFonts w:hint="eastAsia"/>
        </w:rPr>
        <w:t>2019年，</w:t>
      </w:r>
      <w:r>
        <w:t>新丰</w:t>
      </w:r>
      <w:r>
        <w:rPr>
          <w:rFonts w:hint="eastAsia"/>
        </w:rPr>
        <w:t>县电子商务交易</w:t>
      </w:r>
      <w:r>
        <w:t>规模达到</w:t>
      </w:r>
      <w:r>
        <w:rPr>
          <w:rFonts w:hint="eastAsia"/>
        </w:rPr>
        <w:t>5000万元，</w:t>
      </w:r>
      <w:r>
        <w:t>较2016年</w:t>
      </w:r>
      <w:r>
        <w:rPr>
          <w:rFonts w:hint="eastAsia"/>
        </w:rPr>
        <w:t>增</w:t>
      </w:r>
      <w:r>
        <w:t>长18</w:t>
      </w:r>
      <w:r>
        <w:rPr>
          <w:rFonts w:hint="eastAsia"/>
        </w:rPr>
        <w:t>%</w:t>
      </w:r>
      <w:r>
        <w:t>，</w:t>
      </w:r>
      <w:r>
        <w:rPr>
          <w:rFonts w:hint="eastAsia"/>
        </w:rPr>
        <w:t>占社会消费品零售总额的1.6%</w:t>
      </w:r>
      <w:r>
        <w:t>。其中，农村淘宝交易额达到3000万元，菜鸟下乡快递数量达到32万笔。农业产业化企业、规模以上工业企业电子商务普及应用率均达到5%。</w:t>
      </w:r>
      <w:r>
        <w:rPr>
          <w:rFonts w:hint="eastAsia"/>
        </w:rPr>
        <w:t>2019年，新丰县完成货运量</w:t>
      </w:r>
      <w:r>
        <w:t>105.71</w:t>
      </w:r>
      <w:r>
        <w:rPr>
          <w:rFonts w:hint="eastAsia"/>
        </w:rPr>
        <w:t>万吨，货运周转量为</w:t>
      </w:r>
      <w:r>
        <w:t>13250.79</w:t>
      </w:r>
      <w:r>
        <w:rPr>
          <w:rFonts w:hint="eastAsia"/>
        </w:rPr>
        <w:t>万吨</w:t>
      </w:r>
      <w:r>
        <w:t>/</w:t>
      </w:r>
      <w:r>
        <w:rPr>
          <w:rFonts w:hint="eastAsia"/>
        </w:rPr>
        <w:t>公里。</w:t>
      </w:r>
      <w:r>
        <w:t>2018年邮件累计出口35万件，日均958件，同比增幅193%；累计进口42万件，日均1150件，同比增幅43%。</w:t>
      </w:r>
    </w:p>
    <w:p>
      <w:pPr>
        <w:bidi w:val="0"/>
      </w:pPr>
      <w:r>
        <w:rPr>
          <w:rFonts w:hint="eastAsia"/>
          <w:b/>
          <w:bCs/>
        </w:rPr>
        <w:t>基础设施日益完善。</w:t>
      </w:r>
      <w:r>
        <w:rPr>
          <w:rFonts w:hint="eastAsia"/>
        </w:rPr>
        <w:t>随着大广高速、武深高速新丰段先后完成建设，新丰县交通路网进一步融入大湾区，加入珠三角1.5小时经济圈。目前拥有以邮政、顺丰等为基础的物流体系。其中邮政投递段道共33条，邮件直投点8367个，14</w:t>
      </w:r>
      <w:r>
        <w:rPr>
          <w:rFonts w:hint="eastAsia"/>
          <w:lang w:val="en-US" w:eastAsia="zh-CN"/>
        </w:rPr>
        <w:t>1</w:t>
      </w:r>
      <w:r>
        <w:rPr>
          <w:rFonts w:hint="eastAsia"/>
        </w:rPr>
        <w:t>个行政村通邮，基本实现了当天寄、次日可到达省内重点城市。全县网络通信基础设施较为完备，</w:t>
      </w:r>
      <w:r>
        <w:t>县域内</w:t>
      </w:r>
      <w:r>
        <w:rPr>
          <w:rFonts w:hint="eastAsia"/>
        </w:rPr>
        <w:t>实现宽带村村通，3G网络行政村全覆盖，4G网络覆盖乡镇及重点行政村，农村宽带接入能力达到80240Mbps</w:t>
      </w:r>
      <w:r>
        <w:t>，为新丰县电子商务快速发展奠定了坚实的信息技术基础</w:t>
      </w:r>
      <w:r>
        <w:rPr>
          <w:rFonts w:hint="eastAsia"/>
        </w:rPr>
        <w:t>。</w:t>
      </w:r>
    </w:p>
    <w:p>
      <w:pPr>
        <w:bidi w:val="0"/>
      </w:pPr>
      <w:r>
        <w:rPr>
          <w:rFonts w:hint="eastAsia"/>
          <w:b/>
          <w:bCs/>
        </w:rPr>
        <w:t>电商体系逐步形成。</w:t>
      </w:r>
      <w:r>
        <w:rPr>
          <w:rFonts w:hint="eastAsia"/>
        </w:rPr>
        <w:t>“十三五”以来，新丰县投入超过500万元，与阿里巴巴公司签约共建农村淘宝项目，建立了</w:t>
      </w:r>
      <w:r>
        <w:t>1个县级服务中心，6个镇级服务站点和32</w:t>
      </w:r>
      <w:r>
        <w:rPr>
          <w:rFonts w:hint="eastAsia"/>
        </w:rPr>
        <w:t>个村级服务站点，覆盖所有贫困村和20</w:t>
      </w:r>
      <w:r>
        <w:t>%行政村</w:t>
      </w:r>
      <w:r>
        <w:rPr>
          <w:rFonts w:hint="eastAsia"/>
        </w:rPr>
        <w:t>。县级服务中心二楼已建成电商创业园，提供硬件设施和政策扶持，吸引电商企业集聚发展</w:t>
      </w:r>
      <w:r>
        <w:t>；</w:t>
      </w:r>
      <w:r>
        <w:rPr>
          <w:rFonts w:hint="eastAsia"/>
        </w:rPr>
        <w:t>提高了农村物流的末端配送能力</w:t>
      </w:r>
      <w:r>
        <w:t>，</w:t>
      </w:r>
      <w:r>
        <w:rPr>
          <w:rFonts w:hint="eastAsia"/>
        </w:rPr>
        <w:t>总体上初步建成县、镇、村三级电商物流服务体系。</w:t>
      </w:r>
    </w:p>
    <w:p>
      <w:pPr>
        <w:bidi w:val="0"/>
      </w:pPr>
      <w:r>
        <w:rPr>
          <w:rFonts w:hint="eastAsia"/>
          <w:b/>
          <w:bCs/>
        </w:rPr>
        <w:t>金融支撑持续加强</w:t>
      </w:r>
      <w:r>
        <w:rPr>
          <w:rFonts w:hint="eastAsia"/>
        </w:rPr>
        <w:t>。新</w:t>
      </w:r>
      <w:r>
        <w:t>丰县发展普惠金融，加大对小微企业</w:t>
      </w:r>
      <w:r>
        <w:rPr>
          <w:rFonts w:hint="eastAsia"/>
        </w:rPr>
        <w:t>以及</w:t>
      </w:r>
      <w:r>
        <w:t>初创企业的金融</w:t>
      </w:r>
      <w:r>
        <w:rPr>
          <w:rFonts w:hint="eastAsia"/>
        </w:rPr>
        <w:t>支撑力</w:t>
      </w:r>
      <w:r>
        <w:t>度，</w:t>
      </w:r>
      <w:r>
        <w:rPr>
          <w:rFonts w:hint="eastAsia"/>
        </w:rPr>
        <w:t>支持电子商务中小企业创业创新，鼓励在外的电商人才返乡创业，</w:t>
      </w:r>
      <w:r>
        <w:t>大学生创业小额贷款额度达10万元</w:t>
      </w:r>
      <w:r>
        <w:rPr>
          <w:rFonts w:hint="eastAsia"/>
        </w:rPr>
        <w:t>，中小微电商企业融资难、融资贵问题得到改善</w:t>
      </w:r>
      <w:r>
        <w:t>。</w:t>
      </w:r>
      <w:r>
        <w:rPr>
          <w:rFonts w:hint="eastAsia"/>
        </w:rPr>
        <w:t>金融保障民生和重大项目的力度加大，金融资源配置和产业转型升级的对接进一步加强，信贷的投向、期限、结构更加优化。</w:t>
      </w:r>
    </w:p>
    <w:tbl>
      <w:tblPr>
        <w:tblStyle w:val="14"/>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3848"/>
        <w:gridCol w:w="1821"/>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9048" w:type="dxa"/>
            <w:gridSpan w:val="4"/>
            <w:tcBorders>
              <w:top w:val="single" w:color="auto" w:sz="4" w:space="0"/>
            </w:tcBorders>
            <w:vAlign w:val="center"/>
          </w:tcPr>
          <w:p>
            <w:pPr>
              <w:snapToGrid/>
              <w:jc w:val="center"/>
              <w:rPr>
                <w:rFonts w:ascii="仿宋" w:hAnsi="仿宋" w:eastAsia="仿宋" w:cs="仿宋"/>
                <w:b/>
                <w:bCs/>
                <w:szCs w:val="32"/>
              </w:rPr>
            </w:pPr>
            <w:r>
              <w:rPr>
                <w:rFonts w:hint="eastAsia" w:ascii="仿宋" w:hAnsi="仿宋" w:eastAsia="仿宋" w:cs="仿宋"/>
                <w:b/>
                <w:bCs/>
                <w:sz w:val="28"/>
                <w:szCs w:val="28"/>
              </w:rPr>
              <w:t>专栏</w:t>
            </w:r>
            <w:r>
              <w:rPr>
                <w:rFonts w:hint="default" w:ascii="Times New Roman" w:hAnsi="Times New Roman" w:eastAsia="仿宋" w:cs="Times New Roman"/>
                <w:b/>
                <w:bCs/>
                <w:sz w:val="28"/>
                <w:szCs w:val="28"/>
              </w:rPr>
              <w:t>1</w:t>
            </w:r>
            <w:r>
              <w:rPr>
                <w:rFonts w:hint="eastAsia" w:ascii="仿宋" w:hAnsi="仿宋" w:eastAsia="仿宋" w:cs="仿宋"/>
                <w:b/>
                <w:bCs/>
                <w:sz w:val="28"/>
                <w:szCs w:val="28"/>
              </w:rPr>
              <w:t xml:space="preserve"> 新丰县“十三五”电商、物流、金融发展主要指标实现情况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09" w:type="dxa"/>
            <w:tcBorders>
              <w:top w:val="single" w:color="auto" w:sz="4" w:space="0"/>
            </w:tcBorders>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类别</w:t>
            </w:r>
          </w:p>
        </w:tc>
        <w:tc>
          <w:tcPr>
            <w:tcW w:w="3848" w:type="dxa"/>
            <w:tcBorders>
              <w:top w:val="single" w:color="auto" w:sz="4" w:space="0"/>
            </w:tcBorders>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指标</w:t>
            </w:r>
          </w:p>
        </w:tc>
        <w:tc>
          <w:tcPr>
            <w:tcW w:w="1821" w:type="dxa"/>
            <w:tcBorders>
              <w:top w:val="single" w:color="auto" w:sz="4" w:space="0"/>
            </w:tcBorders>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规划目标</w:t>
            </w:r>
          </w:p>
        </w:tc>
        <w:tc>
          <w:tcPr>
            <w:tcW w:w="2270" w:type="dxa"/>
            <w:tcBorders>
              <w:top w:val="single" w:color="auto" w:sz="4" w:space="0"/>
            </w:tcBorders>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实现情况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restart"/>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电商</w:t>
            </w:r>
          </w:p>
        </w:tc>
        <w:tc>
          <w:tcPr>
            <w:tcW w:w="3848" w:type="dxa"/>
            <w:vAlign w:val="center"/>
          </w:tcPr>
          <w:p>
            <w:pPr>
              <w:snapToGrid/>
              <w:ind w:left="0" w:leftChars="0" w:firstLine="0" w:firstLineChars="0"/>
              <w:jc w:val="left"/>
              <w:rPr>
                <w:rFonts w:ascii="仿宋" w:hAnsi="仿宋" w:eastAsia="仿宋" w:cs="仿宋"/>
                <w:sz w:val="28"/>
                <w:szCs w:val="28"/>
              </w:rPr>
            </w:pPr>
            <w:r>
              <w:rPr>
                <w:rFonts w:hint="eastAsia" w:ascii="仿宋" w:hAnsi="仿宋" w:eastAsia="仿宋" w:cs="仿宋"/>
                <w:sz w:val="28"/>
                <w:szCs w:val="28"/>
              </w:rPr>
              <w:t>电子商务交易额（万元）</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3500</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vAlign w:val="center"/>
          </w:tcPr>
          <w:p>
            <w:pPr>
              <w:snapToGrid/>
              <w:jc w:val="center"/>
              <w:rPr>
                <w:rFonts w:ascii="仿宋" w:hAnsi="仿宋" w:eastAsia="仿宋" w:cs="仿宋"/>
                <w:sz w:val="28"/>
                <w:szCs w:val="28"/>
              </w:rPr>
            </w:pPr>
          </w:p>
        </w:tc>
        <w:tc>
          <w:tcPr>
            <w:tcW w:w="3848" w:type="dxa"/>
            <w:vAlign w:val="center"/>
          </w:tcPr>
          <w:p>
            <w:pPr>
              <w:snapToGrid/>
              <w:ind w:left="0" w:leftChars="0" w:firstLine="0" w:firstLineChars="0"/>
              <w:jc w:val="left"/>
              <w:rPr>
                <w:rFonts w:ascii="仿宋" w:hAnsi="仿宋" w:eastAsia="仿宋" w:cs="仿宋"/>
                <w:sz w:val="28"/>
                <w:szCs w:val="28"/>
              </w:rPr>
            </w:pPr>
            <w:r>
              <w:rPr>
                <w:rFonts w:hint="eastAsia" w:ascii="仿宋" w:hAnsi="仿宋" w:eastAsia="仿宋" w:cs="仿宋"/>
                <w:sz w:val="28"/>
                <w:szCs w:val="28"/>
              </w:rPr>
              <w:t>社会消费品零售总额（万元）</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300000</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315700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vAlign w:val="center"/>
          </w:tcPr>
          <w:p>
            <w:pPr>
              <w:snapToGrid/>
              <w:jc w:val="center"/>
              <w:rPr>
                <w:rFonts w:ascii="仿宋" w:hAnsi="仿宋" w:eastAsia="仿宋" w:cs="仿宋"/>
                <w:sz w:val="28"/>
                <w:szCs w:val="28"/>
              </w:rPr>
            </w:pPr>
          </w:p>
        </w:tc>
        <w:tc>
          <w:tcPr>
            <w:tcW w:w="3848" w:type="dxa"/>
            <w:vAlign w:val="center"/>
          </w:tcPr>
          <w:p>
            <w:pPr>
              <w:snapToGrid/>
              <w:spacing w:line="240" w:lineRule="auto"/>
              <w:ind w:left="0" w:leftChars="0" w:firstLine="0" w:firstLineChars="0"/>
              <w:jc w:val="left"/>
              <w:rPr>
                <w:rFonts w:ascii="仿宋" w:hAnsi="仿宋" w:eastAsia="仿宋" w:cs="仿宋"/>
                <w:sz w:val="28"/>
                <w:szCs w:val="28"/>
              </w:rPr>
            </w:pPr>
            <w:r>
              <w:rPr>
                <w:rFonts w:hint="eastAsia" w:ascii="仿宋" w:hAnsi="仿宋" w:eastAsia="仿宋" w:cs="仿宋"/>
                <w:sz w:val="28"/>
                <w:szCs w:val="28"/>
              </w:rPr>
              <w:t>电商交易额</w:t>
            </w:r>
            <w:bookmarkStart w:id="5" w:name="OLE_LINK43"/>
            <w:r>
              <w:rPr>
                <w:rFonts w:hint="eastAsia" w:ascii="仿宋" w:hAnsi="仿宋" w:eastAsia="仿宋" w:cs="仿宋"/>
                <w:sz w:val="28"/>
                <w:szCs w:val="28"/>
              </w:rPr>
              <w:t>占社会消费品零售总额的比重</w:t>
            </w:r>
            <w:bookmarkEnd w:id="5"/>
            <w:r>
              <w:rPr>
                <w:rFonts w:hint="eastAsia" w:ascii="仿宋" w:hAnsi="仿宋" w:eastAsia="仿宋" w:cs="仿宋"/>
                <w:sz w:val="28"/>
                <w:szCs w:val="28"/>
              </w:rPr>
              <w:t>（%）</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w:t>
            </w:r>
            <w:r>
              <w:rPr>
                <w:rFonts w:ascii="仿宋" w:hAnsi="仿宋" w:eastAsia="仿宋" w:cs="仿宋"/>
                <w:sz w:val="28"/>
                <w:szCs w:val="28"/>
              </w:rPr>
              <w:t>%</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1.6</w:t>
            </w:r>
            <w:r>
              <w:rPr>
                <w:rFonts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vAlign w:val="center"/>
          </w:tcPr>
          <w:p>
            <w:pPr>
              <w:snapToGrid/>
              <w:jc w:val="center"/>
              <w:rPr>
                <w:rFonts w:ascii="仿宋" w:hAnsi="仿宋" w:eastAsia="仿宋" w:cs="仿宋"/>
                <w:sz w:val="28"/>
                <w:szCs w:val="28"/>
              </w:rPr>
            </w:pPr>
          </w:p>
        </w:tc>
        <w:tc>
          <w:tcPr>
            <w:tcW w:w="3848" w:type="dxa"/>
            <w:vAlign w:val="center"/>
          </w:tcPr>
          <w:p>
            <w:pPr>
              <w:snapToGrid/>
              <w:ind w:left="0" w:leftChars="0" w:firstLine="0" w:firstLineChars="0"/>
              <w:jc w:val="left"/>
              <w:rPr>
                <w:rFonts w:ascii="仿宋" w:hAnsi="仿宋" w:eastAsia="仿宋" w:cs="仿宋"/>
                <w:sz w:val="28"/>
                <w:szCs w:val="28"/>
              </w:rPr>
            </w:pPr>
            <w:r>
              <w:rPr>
                <w:rFonts w:hint="eastAsia" w:ascii="仿宋" w:hAnsi="仿宋" w:eastAsia="仿宋" w:cs="仿宋"/>
                <w:sz w:val="28"/>
                <w:szCs w:val="28"/>
              </w:rPr>
              <w:t>农村宽带接入能力（Mbps）</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48192</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80240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restart"/>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物流</w:t>
            </w:r>
          </w:p>
        </w:tc>
        <w:tc>
          <w:tcPr>
            <w:tcW w:w="3848" w:type="dxa"/>
            <w:vAlign w:val="center"/>
          </w:tcPr>
          <w:p>
            <w:pPr>
              <w:snapToGrid/>
              <w:ind w:left="0" w:leftChars="0" w:firstLine="0" w:firstLineChars="0"/>
              <w:jc w:val="left"/>
              <w:rPr>
                <w:rFonts w:ascii="仿宋" w:hAnsi="仿宋" w:eastAsia="仿宋" w:cs="仿宋"/>
                <w:sz w:val="28"/>
                <w:szCs w:val="28"/>
              </w:rPr>
            </w:pPr>
            <w:r>
              <w:rPr>
                <w:rFonts w:hint="eastAsia" w:ascii="仿宋" w:hAnsi="仿宋" w:eastAsia="仿宋" w:cs="仿宋"/>
                <w:sz w:val="28"/>
                <w:szCs w:val="28"/>
              </w:rPr>
              <w:t>村级服务站点（个）</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15</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vAlign w:val="center"/>
          </w:tcPr>
          <w:p>
            <w:pPr>
              <w:snapToGrid/>
              <w:jc w:val="center"/>
              <w:rPr>
                <w:rFonts w:ascii="仿宋" w:hAnsi="仿宋" w:eastAsia="仿宋" w:cs="仿宋"/>
                <w:sz w:val="28"/>
                <w:szCs w:val="28"/>
              </w:rPr>
            </w:pPr>
          </w:p>
        </w:tc>
        <w:tc>
          <w:tcPr>
            <w:tcW w:w="3848" w:type="dxa"/>
            <w:vAlign w:val="center"/>
          </w:tcPr>
          <w:p>
            <w:pPr>
              <w:snapToGrid/>
              <w:ind w:left="0" w:leftChars="0" w:firstLine="0" w:firstLineChars="0"/>
              <w:jc w:val="left"/>
              <w:rPr>
                <w:rFonts w:ascii="仿宋" w:hAnsi="仿宋" w:eastAsia="仿宋" w:cs="仿宋"/>
                <w:sz w:val="28"/>
                <w:szCs w:val="28"/>
              </w:rPr>
            </w:pPr>
            <w:r>
              <w:rPr>
                <w:rFonts w:hint="eastAsia" w:ascii="仿宋" w:hAnsi="仿宋" w:eastAsia="仿宋" w:cs="仿宋"/>
                <w:sz w:val="28"/>
                <w:szCs w:val="28"/>
              </w:rPr>
              <w:t>站点行政村覆盖率（%）</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w:t>
            </w:r>
            <w:r>
              <w:rPr>
                <w:rFonts w:ascii="仿宋" w:hAnsi="仿宋" w:eastAsia="仿宋" w:cs="仿宋"/>
                <w:sz w:val="28"/>
                <w:szCs w:val="28"/>
              </w:rPr>
              <w:t>%</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20</w:t>
            </w:r>
            <w:r>
              <w:rPr>
                <w:rFonts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vAlign w:val="center"/>
          </w:tcPr>
          <w:p>
            <w:pPr>
              <w:snapToGrid/>
              <w:jc w:val="center"/>
              <w:rPr>
                <w:rFonts w:ascii="仿宋" w:hAnsi="仿宋" w:eastAsia="仿宋" w:cs="仿宋"/>
                <w:sz w:val="28"/>
                <w:szCs w:val="28"/>
              </w:rPr>
            </w:pPr>
          </w:p>
        </w:tc>
        <w:tc>
          <w:tcPr>
            <w:tcW w:w="3848" w:type="dxa"/>
            <w:vAlign w:val="center"/>
          </w:tcPr>
          <w:p>
            <w:pPr>
              <w:snapToGrid/>
              <w:ind w:left="0" w:leftChars="0" w:firstLine="0" w:firstLineChars="0"/>
              <w:jc w:val="left"/>
              <w:rPr>
                <w:rFonts w:ascii="仿宋" w:hAnsi="仿宋" w:eastAsia="仿宋" w:cs="仿宋"/>
                <w:sz w:val="28"/>
                <w:szCs w:val="28"/>
              </w:rPr>
            </w:pPr>
            <w:r>
              <w:rPr>
                <w:rFonts w:hint="eastAsia" w:ascii="仿宋" w:hAnsi="仿宋" w:eastAsia="仿宋" w:cs="仿宋"/>
                <w:sz w:val="28"/>
                <w:szCs w:val="28"/>
              </w:rPr>
              <w:t>货运量（</w:t>
            </w:r>
            <w:r>
              <w:rPr>
                <w:rFonts w:hint="eastAsia" w:ascii="仿宋" w:hAnsi="仿宋" w:eastAsia="仿宋" w:cs="仿宋"/>
                <w:bCs/>
                <w:sz w:val="28"/>
                <w:szCs w:val="28"/>
              </w:rPr>
              <w:t>万吨）</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100</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w:t>
            </w:r>
            <w:r>
              <w:rPr>
                <w:rFonts w:ascii="仿宋" w:hAnsi="仿宋" w:eastAsia="仿宋" w:cs="仿宋"/>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vAlign w:val="center"/>
          </w:tcPr>
          <w:p>
            <w:pPr>
              <w:snapToGrid/>
              <w:jc w:val="center"/>
              <w:rPr>
                <w:rFonts w:ascii="仿宋" w:hAnsi="仿宋" w:eastAsia="仿宋" w:cs="仿宋"/>
                <w:sz w:val="28"/>
                <w:szCs w:val="28"/>
              </w:rPr>
            </w:pPr>
          </w:p>
        </w:tc>
        <w:tc>
          <w:tcPr>
            <w:tcW w:w="3848" w:type="dxa"/>
            <w:vAlign w:val="center"/>
          </w:tcPr>
          <w:p>
            <w:pPr>
              <w:snapToGrid/>
              <w:ind w:left="0" w:leftChars="0" w:firstLine="0" w:firstLineChars="0"/>
              <w:jc w:val="left"/>
              <w:rPr>
                <w:rFonts w:ascii="仿宋" w:hAnsi="仿宋" w:eastAsia="仿宋" w:cs="仿宋"/>
                <w:sz w:val="28"/>
                <w:szCs w:val="28"/>
              </w:rPr>
            </w:pPr>
            <w:r>
              <w:rPr>
                <w:rFonts w:hint="eastAsia" w:ascii="仿宋" w:hAnsi="仿宋" w:eastAsia="仿宋" w:cs="仿宋"/>
                <w:sz w:val="28"/>
                <w:szCs w:val="28"/>
              </w:rPr>
              <w:t>货运周转量（</w:t>
            </w:r>
            <w:r>
              <w:rPr>
                <w:rFonts w:hint="eastAsia" w:ascii="仿宋" w:hAnsi="仿宋" w:eastAsia="仿宋" w:cs="仿宋"/>
                <w:bCs/>
                <w:sz w:val="28"/>
                <w:szCs w:val="28"/>
              </w:rPr>
              <w:t>万吨/公里</w:t>
            </w:r>
            <w:r>
              <w:rPr>
                <w:rFonts w:hint="eastAsia" w:ascii="仿宋" w:hAnsi="仿宋" w:eastAsia="仿宋" w:cs="仿宋"/>
                <w:sz w:val="28"/>
                <w:szCs w:val="28"/>
              </w:rPr>
              <w:t>）</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12000</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1325</w:t>
            </w:r>
            <w:r>
              <w:rPr>
                <w:rFonts w:ascii="仿宋" w:hAnsi="仿宋" w:eastAsia="仿宋"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金融</w:t>
            </w:r>
          </w:p>
        </w:tc>
        <w:tc>
          <w:tcPr>
            <w:tcW w:w="3848" w:type="dxa"/>
            <w:vAlign w:val="center"/>
          </w:tcPr>
          <w:p>
            <w:pPr>
              <w:snapToGrid/>
              <w:ind w:left="0" w:leftChars="0" w:firstLine="0" w:firstLineChars="0"/>
              <w:jc w:val="left"/>
              <w:rPr>
                <w:rFonts w:ascii="仿宋" w:hAnsi="仿宋" w:eastAsia="仿宋" w:cs="仿宋"/>
                <w:sz w:val="28"/>
                <w:szCs w:val="28"/>
              </w:rPr>
            </w:pPr>
            <w:bookmarkStart w:id="6" w:name="OLE_LINK38"/>
            <w:r>
              <w:rPr>
                <w:rFonts w:hint="eastAsia" w:ascii="仿宋" w:hAnsi="仿宋" w:eastAsia="仿宋" w:cs="仿宋"/>
                <w:sz w:val="28"/>
                <w:szCs w:val="28"/>
              </w:rPr>
              <w:t>大学生小额贷款</w:t>
            </w:r>
            <w:bookmarkEnd w:id="6"/>
            <w:r>
              <w:rPr>
                <w:rFonts w:hint="eastAsia" w:ascii="仿宋" w:hAnsi="仿宋" w:eastAsia="仿宋" w:cs="仿宋"/>
                <w:sz w:val="28"/>
                <w:szCs w:val="28"/>
              </w:rPr>
              <w:t>额度（万元）</w:t>
            </w:r>
          </w:p>
        </w:tc>
        <w:tc>
          <w:tcPr>
            <w:tcW w:w="1821"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w:t>
            </w:r>
          </w:p>
        </w:tc>
        <w:tc>
          <w:tcPr>
            <w:tcW w:w="2270"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w:t>
            </w:r>
          </w:p>
        </w:tc>
      </w:tr>
    </w:tbl>
    <w:p>
      <w:pPr>
        <w:numPr>
          <w:ilvl w:val="0"/>
          <w:numId w:val="2"/>
        </w:numPr>
        <w:adjustRightInd w:val="0"/>
        <w:snapToGrid/>
        <w:spacing w:before="158" w:beforeLines="25" w:line="240" w:lineRule="auto"/>
        <w:outlineLvl w:val="1"/>
        <w:rPr>
          <w:rFonts w:ascii="楷体_GB2312" w:eastAsia="楷体_GB2312"/>
          <w:b/>
          <w:bCs/>
          <w:color w:val="000000"/>
          <w:szCs w:val="32"/>
        </w:rPr>
      </w:pPr>
      <w:bookmarkStart w:id="7" w:name="_Toc45890198"/>
      <w:bookmarkEnd w:id="7"/>
      <w:bookmarkStart w:id="8" w:name="_Toc45639201"/>
      <w:bookmarkEnd w:id="8"/>
      <w:bookmarkStart w:id="9" w:name="_Toc45583937"/>
      <w:bookmarkEnd w:id="9"/>
      <w:bookmarkStart w:id="10" w:name="_Toc45890305"/>
      <w:bookmarkEnd w:id="10"/>
      <w:bookmarkStart w:id="11" w:name="_Toc45588279"/>
      <w:bookmarkEnd w:id="11"/>
      <w:bookmarkStart w:id="12" w:name="_Toc45614834"/>
      <w:bookmarkEnd w:id="12"/>
      <w:bookmarkStart w:id="13" w:name="_Toc17324"/>
      <w:r>
        <w:rPr>
          <w:rFonts w:hint="eastAsia" w:ascii="楷体_GB2312" w:eastAsia="楷体_GB2312"/>
          <w:b/>
          <w:bCs/>
          <w:color w:val="000000"/>
          <w:szCs w:val="32"/>
        </w:rPr>
        <w:t>存在问题</w:t>
      </w:r>
      <w:bookmarkEnd w:id="13"/>
    </w:p>
    <w:p>
      <w:pPr>
        <w:bidi w:val="0"/>
      </w:pPr>
      <w:r>
        <w:rPr>
          <w:rFonts w:hint="eastAsia"/>
          <w:b/>
          <w:bCs/>
        </w:rPr>
        <w:t>产业聚集度低。</w:t>
      </w:r>
      <w:r>
        <w:rPr>
          <w:rFonts w:hint="eastAsia"/>
        </w:rPr>
        <w:t>一是县级服务中心与电商创业园在功能、空间上不能满足未来的高速发展需要，</w:t>
      </w:r>
      <w:bookmarkStart w:id="14" w:name="OLE_LINK70"/>
      <w:r>
        <w:rPr>
          <w:rFonts w:hint="eastAsia"/>
        </w:rPr>
        <w:t>未能吸引大量的网商聚集</w:t>
      </w:r>
      <w:bookmarkEnd w:id="14"/>
      <w:r>
        <w:rPr>
          <w:rFonts w:hint="eastAsia"/>
        </w:rPr>
        <w:t>，难以形成产业聚集效应。二是尚未建立布局合理、功能完善的大型现代化物流基地，缺乏集散、仓储、联运转运的现代化设施，高效、顺畅、便捷的综合交通运输网络有待完善。</w:t>
      </w:r>
    </w:p>
    <w:p>
      <w:pPr>
        <w:bidi w:val="0"/>
      </w:pPr>
      <w:r>
        <w:rPr>
          <w:rFonts w:hint="eastAsia"/>
          <w:b/>
          <w:bCs/>
        </w:rPr>
        <w:t>产业链不完整。</w:t>
      </w:r>
      <w:r>
        <w:rPr>
          <w:rFonts w:hint="eastAsia"/>
        </w:rPr>
        <w:t>新丰县特色生态农业取得了较快发展，但</w:t>
      </w:r>
      <w:bookmarkStart w:id="15" w:name="OLE_LINK47"/>
      <w:r>
        <w:rPr>
          <w:rFonts w:hint="eastAsia"/>
        </w:rPr>
        <w:t>农产品的品牌化程度、生产加工线标准化</w:t>
      </w:r>
      <w:bookmarkEnd w:id="15"/>
      <w:r>
        <w:rPr>
          <w:rFonts w:hint="eastAsia"/>
        </w:rPr>
        <w:t>程度及仓储保鲜冷链一体化程度均偏低，尚未形成完整的产业服务链，制约了规模效应的形成以及龙头企业的打造。</w:t>
      </w:r>
    </w:p>
    <w:p>
      <w:pPr>
        <w:bidi w:val="0"/>
      </w:pPr>
      <w:r>
        <w:rPr>
          <w:rFonts w:hint="eastAsia"/>
          <w:b/>
          <w:bCs/>
        </w:rPr>
        <w:t>物流成本偏高。</w:t>
      </w:r>
      <w:r>
        <w:rPr>
          <w:rFonts w:hint="eastAsia"/>
        </w:rPr>
        <w:t>一是新丰县整体市场体量不大，制造业与电商物流的融合度偏低，在农村电商大力发展的环境下，农产品进城与工业品下乡未能均衡发展。二是部分偏远地区人口居住分散，信息资源匮乏，基础设施落后，缺少物流站点。</w:t>
      </w:r>
    </w:p>
    <w:p>
      <w:pPr>
        <w:bidi w:val="0"/>
      </w:pPr>
      <w:r>
        <w:rPr>
          <w:rFonts w:hint="eastAsia"/>
          <w:b/>
          <w:bCs/>
        </w:rPr>
        <w:t>专业人才短缺。</w:t>
      </w:r>
      <w:r>
        <w:rPr>
          <w:rFonts w:hint="eastAsia"/>
        </w:rPr>
        <w:t>受到自身地理区位和经济发展程度的制约，新丰县的人才培养、引进和激励机制尚不健全，人才聚集度不高，缺乏具备现代管理理念以及熟练掌握信息技术、市场运营等专业人才。</w:t>
      </w:r>
    </w:p>
    <w:p>
      <w:pPr>
        <w:numPr>
          <w:ilvl w:val="0"/>
          <w:numId w:val="2"/>
        </w:numPr>
        <w:adjustRightInd w:val="0"/>
        <w:snapToGrid/>
        <w:spacing w:line="240" w:lineRule="auto"/>
        <w:outlineLvl w:val="1"/>
        <w:rPr>
          <w:rFonts w:ascii="楷体_GB2312" w:eastAsia="楷体_GB2312"/>
          <w:b/>
          <w:bCs/>
          <w:color w:val="000000"/>
          <w:szCs w:val="32"/>
        </w:rPr>
      </w:pPr>
      <w:bookmarkStart w:id="16" w:name="_Toc11433"/>
      <w:r>
        <w:rPr>
          <w:rFonts w:hint="eastAsia" w:ascii="楷体_GB2312" w:eastAsia="楷体_GB2312"/>
          <w:b/>
          <w:bCs/>
          <w:color w:val="000000"/>
          <w:szCs w:val="32"/>
        </w:rPr>
        <w:t>面临形势</w:t>
      </w:r>
      <w:bookmarkEnd w:id="16"/>
    </w:p>
    <w:p>
      <w:pPr>
        <w:bidi w:val="0"/>
      </w:pPr>
      <w:r>
        <w:rPr>
          <w:rFonts w:hint="eastAsia"/>
          <w:b/>
          <w:bCs/>
        </w:rPr>
        <w:t>从国内看，</w:t>
      </w:r>
      <w:r>
        <w:rPr>
          <w:rFonts w:hint="eastAsia"/>
        </w:rPr>
        <w:t>电子商务发展已从高速增长进入高质量发展的全新阶段，</w:t>
      </w:r>
      <w:r>
        <w:t>以电子商务为代表的数字经济取得长足进步，在推动国内经济社会发展方面发挥了重要作用。</w:t>
      </w:r>
      <w:r>
        <w:rPr>
          <w:rFonts w:hint="eastAsia"/>
        </w:rPr>
        <w:t>同时，物流市场规模保持稳定增长，需求结构不断优化，运行效率有所提升，综合交通运输体系和物流节点网络融合发展，基础设施条件有所改善。</w:t>
      </w:r>
    </w:p>
    <w:p>
      <w:pPr>
        <w:bidi w:val="0"/>
      </w:pPr>
      <w:r>
        <w:rPr>
          <w:rFonts w:hint="eastAsia"/>
          <w:b/>
          <w:bCs/>
        </w:rPr>
        <w:t>从省内看，</w:t>
      </w:r>
      <w:r>
        <w:rPr>
          <w:rFonts w:hint="eastAsia"/>
        </w:rPr>
        <w:t>随着广东省电商交易保持高速增长，网络零售额始终保持国内前茅，网络平台和园区建设取得明显成效，创新能力逐步增强。快递物流产业布局进一步优化，基础设施信息化水平显著提升，电商物流末端服务能力明显提高，电子商务与快递物流更加高效协同。</w:t>
      </w:r>
    </w:p>
    <w:p>
      <w:pPr>
        <w:bidi w:val="0"/>
      </w:pPr>
      <w:r>
        <w:rPr>
          <w:b/>
          <w:bCs/>
        </w:rPr>
        <w:t>从市内看，</w:t>
      </w:r>
      <w:r>
        <w:rPr>
          <w:rFonts w:hint="eastAsia"/>
        </w:rPr>
        <w:t>韶关市加大财政投入力度，连续三年安排专项资金，以电商主体、扶贫电商、电商物流体系、电商人才培训等为抓手，扶持电子商务产业发展，提升电子商务应用水平，推进电子商务进农村综合示范工作与省冷链物流骨干网节点城市建设项目，为乡村振兴发展作出了巨大的贡献。</w:t>
      </w:r>
    </w:p>
    <w:p>
      <w:pPr>
        <w:bidi w:val="0"/>
      </w:pPr>
      <w:r>
        <w:rPr>
          <w:rFonts w:hint="eastAsia"/>
        </w:rPr>
        <w:t>新丰县地处粤北韶关市南端，与广州、惠州、清远、河源四市七县接壤，被称为“韶关市南大门，广州市黄金郊区”，是韶关地区融入珠三角，服务大湾区的战略前沿。新丰县打造“一村一品、一村多品”的产业发展新格局，建立了</w:t>
      </w:r>
      <w:r>
        <w:t>农村淘宝新丰县服务中心</w:t>
      </w:r>
      <w:r>
        <w:rPr>
          <w:rFonts w:hint="eastAsia"/>
        </w:rPr>
        <w:t>、</w:t>
      </w:r>
      <w:r>
        <w:t>菜鸟农村物流新丰县服务中心</w:t>
      </w:r>
      <w:r>
        <w:rPr>
          <w:rFonts w:hint="eastAsia"/>
        </w:rPr>
        <w:t>、</w:t>
      </w:r>
      <w:r>
        <w:t>新丰县电子商务培训中心</w:t>
      </w:r>
      <w:r>
        <w:rPr>
          <w:rFonts w:hint="eastAsia"/>
        </w:rPr>
        <w:t>，搭建多种互动平台，促进“电商物流+文化旅游”协同发展。</w:t>
      </w:r>
    </w:p>
    <w:p>
      <w:pPr>
        <w:numPr>
          <w:ilvl w:val="0"/>
          <w:numId w:val="2"/>
        </w:numPr>
        <w:adjustRightInd w:val="0"/>
        <w:snapToGrid/>
        <w:spacing w:line="240" w:lineRule="auto"/>
        <w:outlineLvl w:val="1"/>
        <w:rPr>
          <w:rFonts w:ascii="楷体_GB2312" w:eastAsia="楷体_GB2312"/>
          <w:b/>
          <w:bCs/>
          <w:color w:val="000000"/>
          <w:szCs w:val="32"/>
        </w:rPr>
      </w:pPr>
      <w:bookmarkStart w:id="17" w:name="_Toc28357"/>
      <w:r>
        <w:rPr>
          <w:rFonts w:hint="eastAsia" w:ascii="楷体_GB2312" w:eastAsia="楷体_GB2312"/>
          <w:b/>
          <w:bCs/>
          <w:color w:val="000000"/>
          <w:szCs w:val="32"/>
        </w:rPr>
        <w:t>主要挑战</w:t>
      </w:r>
      <w:bookmarkEnd w:id="17"/>
    </w:p>
    <w:p>
      <w:pPr>
        <w:bidi w:val="0"/>
      </w:pPr>
      <w:r>
        <w:rPr>
          <w:rFonts w:hint="eastAsia"/>
          <w:b/>
          <w:bCs/>
        </w:rPr>
        <w:t>产品的品牌化、规范化、规模化不足。</w:t>
      </w:r>
      <w:r>
        <w:rPr>
          <w:rFonts w:hint="eastAsia"/>
        </w:rPr>
        <w:t>随着</w:t>
      </w:r>
      <w:bookmarkStart w:id="18" w:name="OLE_LINK62"/>
      <w:r>
        <w:rPr>
          <w:rFonts w:hint="eastAsia"/>
        </w:rPr>
        <w:t>社会消费水平的持续提</w:t>
      </w:r>
      <w:bookmarkEnd w:id="18"/>
      <w:r>
        <w:rPr>
          <w:rFonts w:hint="eastAsia"/>
        </w:rPr>
        <w:t>升和品质电商平台的快速发展，消费需求发生了明显转变，从单纯追求价格和物流速度转向更加追求生活品质及消费体验。消费者对健康优质农产品的需求日益扩大，农村电商进入规模化专业化的发展阶段。然而，由于农业生产高度分散，生产经营组织化程度较低，导致农产品生产标准化和质量难以控制。另一方面，果蔬、肉类、水产品等生鲜的冷链流通率和冷链运输率较低以及冷链脱节，造成生鲜农产品从采摘到配送过程损耗过多，不仅提高了物流成本，且难以保证产品品质和质量安全。分散小农户由于缺乏质量相关认证，其生产的农产品较难达到大型电商平台准入条件。</w:t>
      </w:r>
      <w:bookmarkStart w:id="19" w:name="OLE_LINK69"/>
    </w:p>
    <w:p>
      <w:pPr>
        <w:bidi w:val="0"/>
        <w:rPr>
          <w:rFonts w:ascii="仿宋" w:hAnsi="仿宋" w:eastAsia="仿宋" w:cs="仿宋_GB2312"/>
          <w:bCs/>
          <w:szCs w:val="32"/>
        </w:rPr>
      </w:pPr>
      <w:r>
        <w:rPr>
          <w:rFonts w:hint="eastAsia"/>
          <w:b/>
          <w:bCs/>
        </w:rPr>
        <w:t>行业总体规模较小、新模式新业态缺乏。</w:t>
      </w:r>
      <w:r>
        <w:t>“</w:t>
      </w:r>
      <w:r>
        <w:rPr>
          <w:rFonts w:hint="eastAsia"/>
        </w:rPr>
        <w:t>十三五</w:t>
      </w:r>
      <w:r>
        <w:t>”</w:t>
      </w:r>
      <w:r>
        <w:rPr>
          <w:rFonts w:hint="eastAsia"/>
        </w:rPr>
        <w:t>以来，新丰县经济实力不断增强，但与珠三角地区相比仍较落后，社会事业发展基础薄弱，产业发展不全面、不协调，农业与电商产业总体规模均偏小，缺乏新模式、新业态推动小生产与大市场对接，农产品</w:t>
      </w:r>
      <w:r>
        <w:rPr>
          <w:rFonts w:hint="eastAsia" w:ascii="仿宋" w:hAnsi="仿宋" w:eastAsia="仿宋" w:cs="仿宋_GB2312"/>
          <w:bCs/>
          <w:szCs w:val="32"/>
        </w:rPr>
        <w:t>产销对接不紧密、不稳定的问题突出。近年来，</w:t>
      </w:r>
      <w:r>
        <w:rPr>
          <w:rFonts w:ascii="仿宋" w:hAnsi="仿宋" w:eastAsia="仿宋" w:cs="仿宋_GB2312"/>
          <w:bCs/>
          <w:szCs w:val="32"/>
        </w:rPr>
        <w:t>人工智能、大数据、小程序等技术</w:t>
      </w:r>
      <w:r>
        <w:rPr>
          <w:rFonts w:hint="eastAsia" w:ascii="仿宋" w:hAnsi="仿宋" w:eastAsia="仿宋" w:cs="仿宋_GB2312"/>
          <w:bCs/>
          <w:szCs w:val="32"/>
        </w:rPr>
        <w:t>得以</w:t>
      </w:r>
      <w:r>
        <w:rPr>
          <w:rFonts w:ascii="仿宋" w:hAnsi="仿宋" w:eastAsia="仿宋" w:cs="仿宋_GB2312"/>
          <w:bCs/>
          <w:szCs w:val="32"/>
        </w:rPr>
        <w:t>广泛应用，</w:t>
      </w:r>
      <w:bookmarkStart w:id="20" w:name="OLE_LINK91"/>
      <w:r>
        <w:rPr>
          <w:rFonts w:hint="eastAsia" w:ascii="仿宋" w:hAnsi="仿宋" w:eastAsia="仿宋" w:cs="仿宋_GB2312"/>
          <w:bCs/>
          <w:szCs w:val="32"/>
        </w:rPr>
        <w:t>直播电商、社交电商、社群电商等新模式</w:t>
      </w:r>
      <w:bookmarkEnd w:id="20"/>
      <w:r>
        <w:rPr>
          <w:rFonts w:hint="eastAsia" w:ascii="仿宋" w:hAnsi="仿宋" w:eastAsia="仿宋" w:cs="仿宋_GB2312"/>
          <w:bCs/>
          <w:szCs w:val="32"/>
        </w:rPr>
        <w:t>不断涌现，电子商务新业态将带动</w:t>
      </w:r>
      <w:bookmarkStart w:id="21" w:name="OLE_LINK92"/>
      <w:r>
        <w:rPr>
          <w:rFonts w:hint="eastAsia" w:ascii="仿宋" w:hAnsi="仿宋" w:eastAsia="仿宋" w:cs="仿宋_GB2312"/>
          <w:bCs/>
          <w:szCs w:val="32"/>
        </w:rPr>
        <w:t>线上线下</w:t>
      </w:r>
      <w:bookmarkEnd w:id="21"/>
      <w:r>
        <w:rPr>
          <w:rFonts w:hint="eastAsia" w:ascii="仿宋" w:hAnsi="仿宋" w:eastAsia="仿宋" w:cs="仿宋_GB2312"/>
          <w:bCs/>
          <w:szCs w:val="32"/>
        </w:rPr>
        <w:t>市场对接互动，引导</w:t>
      </w:r>
      <w:r>
        <w:rPr>
          <w:rFonts w:ascii="仿宋" w:hAnsi="仿宋" w:eastAsia="仿宋" w:cs="仿宋_GB2312"/>
          <w:bCs/>
          <w:szCs w:val="32"/>
        </w:rPr>
        <w:t>传统实体经济数字化转型，</w:t>
      </w:r>
      <w:r>
        <w:rPr>
          <w:rFonts w:hint="eastAsia" w:ascii="仿宋" w:hAnsi="仿宋" w:eastAsia="仿宋" w:cs="仿宋_GB2312"/>
          <w:bCs/>
          <w:szCs w:val="32"/>
        </w:rPr>
        <w:t>为新丰县产业发展改革带来了新的挑战与机会窗口。</w:t>
      </w:r>
      <w:bookmarkEnd w:id="19"/>
    </w:p>
    <w:p>
      <w:pPr>
        <w:numPr>
          <w:ilvl w:val="0"/>
          <w:numId w:val="1"/>
        </w:numPr>
        <w:adjustRightInd w:val="0"/>
        <w:snapToGrid/>
        <w:spacing w:line="324" w:lineRule="auto"/>
        <w:ind w:firstLine="630" w:firstLineChars="200"/>
        <w:outlineLvl w:val="0"/>
        <w:rPr>
          <w:rFonts w:ascii="黑体" w:hAnsi="黑体" w:eastAsia="黑体"/>
          <w:b/>
          <w:color w:val="000000"/>
          <w:szCs w:val="32"/>
        </w:rPr>
      </w:pPr>
      <w:bookmarkStart w:id="22" w:name="_Toc10340"/>
      <w:r>
        <w:rPr>
          <w:rFonts w:hint="eastAsia" w:ascii="黑体" w:hAnsi="黑体" w:eastAsia="黑体"/>
          <w:b/>
          <w:color w:val="000000"/>
          <w:szCs w:val="32"/>
        </w:rPr>
        <w:t>总体思路</w:t>
      </w:r>
      <w:bookmarkEnd w:id="22"/>
    </w:p>
    <w:p>
      <w:pPr>
        <w:numPr>
          <w:ilvl w:val="0"/>
          <w:numId w:val="3"/>
        </w:numPr>
        <w:adjustRightInd w:val="0"/>
        <w:snapToGrid/>
        <w:spacing w:line="240" w:lineRule="auto"/>
        <w:outlineLvl w:val="1"/>
        <w:rPr>
          <w:rFonts w:ascii="楷体_GB2312" w:eastAsia="楷体_GB2312"/>
          <w:b/>
          <w:bCs/>
          <w:color w:val="000000"/>
          <w:szCs w:val="32"/>
        </w:rPr>
      </w:pPr>
      <w:bookmarkStart w:id="23" w:name="_Toc22044"/>
      <w:r>
        <w:rPr>
          <w:rFonts w:hint="eastAsia" w:ascii="楷体_GB2312" w:eastAsia="楷体_GB2312"/>
          <w:b/>
          <w:bCs/>
          <w:color w:val="000000"/>
          <w:szCs w:val="32"/>
        </w:rPr>
        <w:t>指导思想</w:t>
      </w:r>
      <w:bookmarkEnd w:id="23"/>
    </w:p>
    <w:p>
      <w:pPr>
        <w:adjustRightInd w:val="0"/>
        <w:snapToGrid/>
        <w:spacing w:line="240" w:lineRule="auto"/>
        <w:ind w:firstLine="630" w:firstLineChars="200"/>
        <w:rPr>
          <w:rFonts w:ascii="仿宋" w:hAnsi="仿宋" w:eastAsia="仿宋"/>
          <w:bCs/>
          <w:szCs w:val="32"/>
        </w:rPr>
      </w:pPr>
      <w:r>
        <w:rPr>
          <w:rFonts w:hint="eastAsia" w:ascii="仿宋" w:hAnsi="仿宋" w:eastAsia="仿宋"/>
          <w:bCs/>
          <w:szCs w:val="32"/>
        </w:rPr>
        <w:t>坚持以习近平新时代中国特色社会主义思想为指导，认真贯彻落实省委十二届七次、八次、九次全会和市委十二届九次、十次、十一次全会精神，以“四个坚持、三个支撑、两个走在前列”为统领，全面落实省委“</w:t>
      </w:r>
      <w:r>
        <w:rPr>
          <w:rFonts w:ascii="仿宋" w:hAnsi="仿宋" w:eastAsia="仿宋"/>
          <w:bCs/>
          <w:szCs w:val="32"/>
        </w:rPr>
        <w:t>1+1+9”工作部署和李希书记在韶调研讲话精神，紧扣“融入珠三角、服务大湾区，生态富民立县”发展战略，扎实做好“六稳”</w:t>
      </w:r>
      <w:r>
        <w:rPr>
          <w:rFonts w:hint="eastAsia" w:ascii="仿宋" w:hAnsi="仿宋" w:eastAsia="仿宋"/>
          <w:bCs/>
          <w:szCs w:val="32"/>
        </w:rPr>
        <w:t>、“六保”工作，立足“双区所需，新丰所能”。坚持以高质量发展为主题，以供给侧结构性改革为主线，以改革开放为动力，以生态优先、绿色发展为理念，以主动融入和服务粤港澳大湾区、深圳先行示范区建设为引领，全方位打造南部对接平台，努力将新丰建设成为韶关融入大湾区的先行发展区，加快推进新丰高质量发展。</w:t>
      </w:r>
    </w:p>
    <w:p>
      <w:pPr>
        <w:numPr>
          <w:ilvl w:val="0"/>
          <w:numId w:val="3"/>
        </w:numPr>
        <w:adjustRightInd w:val="0"/>
        <w:snapToGrid/>
        <w:spacing w:line="240" w:lineRule="auto"/>
        <w:outlineLvl w:val="1"/>
        <w:rPr>
          <w:rFonts w:ascii="楷体_GB2312" w:eastAsia="楷体_GB2312"/>
          <w:b/>
          <w:bCs/>
          <w:color w:val="000000"/>
          <w:szCs w:val="32"/>
        </w:rPr>
      </w:pPr>
      <w:bookmarkStart w:id="24" w:name="_Toc28136"/>
      <w:r>
        <w:rPr>
          <w:rFonts w:hint="eastAsia" w:ascii="楷体_GB2312" w:eastAsia="楷体_GB2312"/>
          <w:b/>
          <w:bCs/>
          <w:color w:val="000000"/>
          <w:szCs w:val="32"/>
        </w:rPr>
        <w:t>发展原则</w:t>
      </w:r>
      <w:bookmarkEnd w:id="24"/>
    </w:p>
    <w:p>
      <w:pPr>
        <w:bidi w:val="0"/>
      </w:pPr>
      <w:r>
        <w:rPr>
          <w:b/>
          <w:bCs/>
        </w:rPr>
        <w:t>强化</w:t>
      </w:r>
      <w:r>
        <w:rPr>
          <w:rFonts w:hint="eastAsia"/>
          <w:b/>
          <w:bCs/>
        </w:rPr>
        <w:t>引</w:t>
      </w:r>
      <w:r>
        <w:rPr>
          <w:b/>
          <w:bCs/>
        </w:rPr>
        <w:t>领</w:t>
      </w:r>
      <w:r>
        <w:rPr>
          <w:rFonts w:hint="eastAsia"/>
          <w:b/>
          <w:bCs/>
        </w:rPr>
        <w:t>，</w:t>
      </w:r>
      <w:r>
        <w:rPr>
          <w:b/>
          <w:bCs/>
        </w:rPr>
        <w:t>统筹全局</w:t>
      </w:r>
      <w:r>
        <w:rPr>
          <w:rFonts w:hint="eastAsia"/>
          <w:b/>
          <w:bCs/>
        </w:rPr>
        <w:t>。</w:t>
      </w:r>
      <w:r>
        <w:t>强化政府在产业规划、</w:t>
      </w:r>
      <w:r>
        <w:rPr>
          <w:rFonts w:hint="eastAsia"/>
        </w:rPr>
        <w:t>政策</w:t>
      </w:r>
      <w:r>
        <w:t>扶持</w:t>
      </w:r>
      <w:r>
        <w:rPr>
          <w:rFonts w:hint="eastAsia"/>
        </w:rPr>
        <w:t>、</w:t>
      </w:r>
      <w:r>
        <w:t>资源互通</w:t>
      </w:r>
      <w:r>
        <w:rPr>
          <w:rFonts w:hint="eastAsia"/>
        </w:rPr>
        <w:t>、组织</w:t>
      </w:r>
      <w:r>
        <w:t>管理等方面的引领作用</w:t>
      </w:r>
      <w:r>
        <w:rPr>
          <w:rFonts w:hint="eastAsia"/>
        </w:rPr>
        <w:t>，</w:t>
      </w:r>
      <w:r>
        <w:t>规范电子商务营商</w:t>
      </w:r>
      <w:r>
        <w:rPr>
          <w:rFonts w:hint="eastAsia"/>
        </w:rPr>
        <w:t>环境，</w:t>
      </w:r>
      <w:r>
        <w:t>协调现代物流业和金融业等</w:t>
      </w:r>
      <w:r>
        <w:rPr>
          <w:rFonts w:hint="eastAsia"/>
        </w:rPr>
        <w:t>支撑配套</w:t>
      </w:r>
      <w:r>
        <w:t>融合</w:t>
      </w:r>
      <w:r>
        <w:rPr>
          <w:rFonts w:hint="eastAsia"/>
        </w:rPr>
        <w:t>发展。</w:t>
      </w:r>
    </w:p>
    <w:p>
      <w:pPr>
        <w:bidi w:val="0"/>
      </w:pPr>
      <w:r>
        <w:rPr>
          <w:rFonts w:hint="eastAsia"/>
          <w:b/>
          <w:bCs/>
        </w:rPr>
        <w:t>整合资源，</w:t>
      </w:r>
      <w:r>
        <w:rPr>
          <w:b/>
          <w:bCs/>
        </w:rPr>
        <w:t>打造集群</w:t>
      </w:r>
      <w:r>
        <w:rPr>
          <w:rFonts w:hint="eastAsia"/>
          <w:b/>
          <w:bCs/>
        </w:rPr>
        <w:t>。</w:t>
      </w:r>
      <w:r>
        <w:rPr>
          <w:rFonts w:hint="eastAsia"/>
        </w:rPr>
        <w:t>有效整合</w:t>
      </w:r>
      <w:r>
        <w:t>新丰</w:t>
      </w:r>
      <w:r>
        <w:rPr>
          <w:rFonts w:hint="eastAsia"/>
        </w:rPr>
        <w:t>县特色</w:t>
      </w:r>
      <w:r>
        <w:t>资源</w:t>
      </w:r>
      <w:r>
        <w:rPr>
          <w:rFonts w:hint="eastAsia"/>
        </w:rPr>
        <w:t>和优势产业，</w:t>
      </w:r>
      <w:r>
        <w:t>围绕转变经济增长方式，</w:t>
      </w:r>
      <w:r>
        <w:rPr>
          <w:rFonts w:hint="eastAsia"/>
        </w:rPr>
        <w:t>推动实体经济与网络经济</w:t>
      </w:r>
      <w:r>
        <w:t>结合</w:t>
      </w:r>
      <w:r>
        <w:rPr>
          <w:rFonts w:hint="eastAsia"/>
        </w:rPr>
        <w:t>发展，打造</w:t>
      </w:r>
      <w:r>
        <w:t>产业链条完整、配套设施完备、公共服务完善</w:t>
      </w:r>
      <w:r>
        <w:rPr>
          <w:rFonts w:hint="eastAsia"/>
        </w:rPr>
        <w:t>的</w:t>
      </w:r>
      <w:r>
        <w:t>电子商务</w:t>
      </w:r>
      <w:r>
        <w:rPr>
          <w:rFonts w:hint="eastAsia"/>
        </w:rPr>
        <w:t>产业集群。</w:t>
      </w:r>
    </w:p>
    <w:p>
      <w:pPr>
        <w:bidi w:val="0"/>
      </w:pPr>
      <w:r>
        <w:rPr>
          <w:rFonts w:hint="eastAsia"/>
          <w:b/>
          <w:bCs/>
        </w:rPr>
        <w:t>示范带动，</w:t>
      </w:r>
      <w:r>
        <w:rPr>
          <w:b/>
          <w:bCs/>
        </w:rPr>
        <w:t>深化应用</w:t>
      </w:r>
      <w:r>
        <w:rPr>
          <w:rFonts w:hint="eastAsia"/>
          <w:b/>
          <w:bCs/>
        </w:rPr>
        <w:t>。</w:t>
      </w:r>
      <w:r>
        <w:t>充分发挥示范园区和龙头企业的带动作用</w:t>
      </w:r>
      <w:r>
        <w:rPr>
          <w:rFonts w:hint="eastAsia"/>
        </w:rPr>
        <w:t>，通过组织创新、模式创新、技术创新</w:t>
      </w:r>
      <w:r>
        <w:t>，拓展电子商务在农业、制造业、旅游业等行业的应用</w:t>
      </w:r>
      <w:r>
        <w:rPr>
          <w:rFonts w:hint="eastAsia"/>
        </w:rPr>
        <w:t>，</w:t>
      </w:r>
      <w:r>
        <w:t>助力</w:t>
      </w:r>
      <w:r>
        <w:rPr>
          <w:rFonts w:hint="eastAsia"/>
        </w:rPr>
        <w:t>传统产业</w:t>
      </w:r>
      <w:r>
        <w:t>转型升级</w:t>
      </w:r>
      <w:r>
        <w:rPr>
          <w:rFonts w:hint="eastAsia"/>
        </w:rPr>
        <w:t>。</w:t>
      </w:r>
    </w:p>
    <w:p>
      <w:pPr>
        <w:bidi w:val="0"/>
      </w:pPr>
      <w:r>
        <w:rPr>
          <w:rFonts w:hint="eastAsia"/>
          <w:b/>
          <w:bCs/>
        </w:rPr>
        <w:t>服务为本，持续发展</w:t>
      </w:r>
      <w:r>
        <w:rPr>
          <w:rFonts w:hint="eastAsia"/>
        </w:rPr>
        <w:t>。</w:t>
      </w:r>
      <w:r>
        <w:t>以扩大电子商务服务领域为抓手</w:t>
      </w:r>
      <w:r>
        <w:rPr>
          <w:rFonts w:hint="eastAsia"/>
        </w:rPr>
        <w:t>，</w:t>
      </w:r>
      <w:r>
        <w:t>培育龙头企业和扶持微小企业</w:t>
      </w:r>
      <w:r>
        <w:rPr>
          <w:rFonts w:hint="eastAsia"/>
        </w:rPr>
        <w:t>，实施人才培训和引进计划，建立电子商务长效发展机制，带动</w:t>
      </w:r>
      <w:r>
        <w:t>新丰</w:t>
      </w:r>
      <w:r>
        <w:rPr>
          <w:rFonts w:hint="eastAsia"/>
        </w:rPr>
        <w:t>经济持续发展。</w:t>
      </w:r>
    </w:p>
    <w:p>
      <w:pPr>
        <w:numPr>
          <w:ilvl w:val="0"/>
          <w:numId w:val="3"/>
        </w:numPr>
        <w:adjustRightInd w:val="0"/>
        <w:snapToGrid/>
        <w:spacing w:line="240" w:lineRule="auto"/>
        <w:outlineLvl w:val="1"/>
        <w:rPr>
          <w:rFonts w:ascii="楷体_GB2312" w:eastAsia="楷体_GB2312"/>
          <w:b/>
          <w:bCs/>
          <w:color w:val="000000"/>
          <w:szCs w:val="32"/>
        </w:rPr>
      </w:pPr>
      <w:bookmarkStart w:id="25" w:name="_Toc29085"/>
      <w:r>
        <w:rPr>
          <w:rFonts w:hint="eastAsia" w:ascii="楷体_GB2312" w:eastAsia="楷体_GB2312"/>
          <w:b/>
          <w:bCs/>
          <w:color w:val="000000"/>
          <w:szCs w:val="32"/>
        </w:rPr>
        <w:t>发展目标</w:t>
      </w:r>
      <w:bookmarkEnd w:id="25"/>
    </w:p>
    <w:p>
      <w:pPr>
        <w:bidi w:val="0"/>
      </w:pPr>
      <w:bookmarkStart w:id="26" w:name="OLE_LINK76"/>
      <w:r>
        <w:rPr>
          <w:rFonts w:hint="eastAsia"/>
          <w:b/>
          <w:bCs/>
        </w:rPr>
        <w:t>电子商务</w:t>
      </w:r>
      <w:bookmarkEnd w:id="26"/>
      <w:r>
        <w:rPr>
          <w:rFonts w:hint="eastAsia"/>
          <w:b/>
          <w:bCs/>
        </w:rPr>
        <w:t>繁荣发展。</w:t>
      </w:r>
      <w:r>
        <w:rPr>
          <w:rFonts w:hint="eastAsia"/>
        </w:rPr>
        <w:t>带动农产品上行，与物流业、制造业协同发展，电子商务交易规模逐渐扩大。到</w:t>
      </w:r>
      <w:r>
        <w:t>2025年，</w:t>
      </w:r>
      <w:r>
        <w:rPr>
          <w:rFonts w:hint="eastAsia"/>
        </w:rPr>
        <w:t>电子商务交易额超过2.5亿元，占社会消费品零售总额的5</w:t>
      </w:r>
      <w:r>
        <w:t>%</w:t>
      </w:r>
      <w:r>
        <w:rPr>
          <w:rFonts w:hint="eastAsia"/>
        </w:rPr>
        <w:t>。随着产业链逐步完善，政府扶持政策落实到位，</w:t>
      </w:r>
      <w:bookmarkStart w:id="27" w:name="OLE_LINK77"/>
      <w:r>
        <w:rPr>
          <w:rFonts w:hint="eastAsia"/>
        </w:rPr>
        <w:t>电子商务龙头企业不断涌现</w:t>
      </w:r>
      <w:bookmarkEnd w:id="27"/>
      <w:r>
        <w:rPr>
          <w:rFonts w:hint="eastAsia"/>
        </w:rPr>
        <w:t>。</w:t>
      </w:r>
      <w:r>
        <w:t>力争培育年网络交易额超过1000万元、5000万元、10000万元的电子商务</w:t>
      </w:r>
      <w:r>
        <w:rPr>
          <w:rFonts w:hint="eastAsia"/>
        </w:rPr>
        <w:t>企业</w:t>
      </w:r>
      <w:r>
        <w:t>分别</w:t>
      </w:r>
      <w:r>
        <w:rPr>
          <w:rFonts w:hint="eastAsia"/>
        </w:rPr>
        <w:t>达到5家、2家和1家。规模以上工业企业和农业产业化企业电子商务普及应用率分别达到15%和</w:t>
      </w:r>
      <w:r>
        <w:t>3</w:t>
      </w:r>
      <w:r>
        <w:rPr>
          <w:rFonts w:hint="eastAsia"/>
        </w:rPr>
        <w:t>0%。力争将电子商务创业园建设成省级电子商务示范园区，连片打造电子商务辐射区，集聚发展电子商务，形成产业集聚的态势。引入2</w:t>
      </w:r>
      <w:r>
        <w:t>至3</w:t>
      </w:r>
      <w:r>
        <w:rPr>
          <w:rFonts w:hint="eastAsia"/>
        </w:rPr>
        <w:t>家全国知名</w:t>
      </w:r>
      <w:r>
        <w:t>电商</w:t>
      </w:r>
      <w:r>
        <w:rPr>
          <w:rFonts w:hint="eastAsia"/>
        </w:rPr>
        <w:t>企业进驻，每家企业培育、引进不低于30名电商人才。</w:t>
      </w:r>
    </w:p>
    <w:p>
      <w:pPr>
        <w:bidi w:val="0"/>
      </w:pPr>
      <w:r>
        <w:rPr>
          <w:rFonts w:hint="eastAsia"/>
          <w:b/>
          <w:bCs/>
        </w:rPr>
        <w:t>物流体系强力支撑。</w:t>
      </w:r>
      <w:r>
        <w:rPr>
          <w:rFonts w:hint="eastAsia"/>
        </w:rPr>
        <w:t>现代化物流体系为工业品下乡和农产品进城提供了高效通畅的流通渠道，到</w:t>
      </w:r>
      <w:r>
        <w:t>2025年，在</w:t>
      </w:r>
      <w:r>
        <w:rPr>
          <w:rFonts w:hint="eastAsia"/>
        </w:rPr>
        <w:t>县域设立1个县级运营和</w:t>
      </w:r>
      <w:r>
        <w:t>仓储</w:t>
      </w:r>
      <w:r>
        <w:rPr>
          <w:rFonts w:hint="eastAsia"/>
        </w:rPr>
        <w:t>中心，</w:t>
      </w:r>
      <w:r>
        <w:t>6个</w:t>
      </w:r>
      <w:r>
        <w:rPr>
          <w:rFonts w:hint="eastAsia"/>
        </w:rPr>
        <w:t>镇级站点以及1</w:t>
      </w:r>
      <w:r>
        <w:t>00</w:t>
      </w:r>
      <w:r>
        <w:rPr>
          <w:rFonts w:hint="eastAsia"/>
        </w:rPr>
        <w:t>个村级</w:t>
      </w:r>
      <w:r>
        <w:t>服务站点，保证县域内行政村70%覆盖。</w:t>
      </w:r>
      <w:r>
        <w:rPr>
          <w:rFonts w:hint="eastAsia"/>
        </w:rPr>
        <w:t>引进、培养10名现代物流管理人才。</w:t>
      </w:r>
    </w:p>
    <w:p>
      <w:pPr>
        <w:bidi w:val="0"/>
      </w:pPr>
      <w:r>
        <w:rPr>
          <w:rFonts w:hint="eastAsia"/>
          <w:b/>
          <w:bCs/>
        </w:rPr>
        <w:t>金融政策提供保障。</w:t>
      </w:r>
      <w:r>
        <w:rPr>
          <w:rFonts w:hint="eastAsia"/>
        </w:rPr>
        <w:t>政府加强带动引导作用，安排专项资金和专门工作经费，制定实施金融扶持政策，推进电商和物流产业发展。到</w:t>
      </w:r>
      <w:r>
        <w:t>2025年，建立健全适应电子商务发展多元化、多渠道</w:t>
      </w:r>
      <w:r>
        <w:rPr>
          <w:rFonts w:hint="eastAsia"/>
        </w:rPr>
        <w:t>的</w:t>
      </w:r>
      <w:r>
        <w:t>投融资机制，积极探索适应电子商务发展的风险投资、融资担保、责任保险等模式</w:t>
      </w:r>
      <w:r>
        <w:rPr>
          <w:rFonts w:hint="eastAsia"/>
        </w:rPr>
        <w:t>。</w:t>
      </w:r>
    </w:p>
    <w:tbl>
      <w:tblPr>
        <w:tblStyle w:val="14"/>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369"/>
        <w:gridCol w:w="1743"/>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9165" w:type="dxa"/>
            <w:gridSpan w:val="4"/>
            <w:vAlign w:val="center"/>
          </w:tcPr>
          <w:p>
            <w:pPr>
              <w:adjustRightInd w:val="0"/>
              <w:snapToGrid/>
              <w:spacing w:line="240" w:lineRule="auto"/>
              <w:jc w:val="center"/>
              <w:rPr>
                <w:rFonts w:ascii="仿宋" w:hAnsi="仿宋" w:eastAsia="仿宋" w:cs="仿宋"/>
                <w:b/>
                <w:bCs/>
                <w:sz w:val="28"/>
                <w:szCs w:val="28"/>
              </w:rPr>
            </w:pPr>
            <w:r>
              <w:rPr>
                <w:rFonts w:hint="eastAsia" w:ascii="仿宋" w:hAnsi="仿宋" w:eastAsia="仿宋" w:cs="仿宋"/>
                <w:b/>
                <w:bCs/>
                <w:sz w:val="28"/>
                <w:szCs w:val="28"/>
              </w:rPr>
              <w:t>专栏</w:t>
            </w:r>
            <w:r>
              <w:rPr>
                <w:rFonts w:hint="default" w:ascii="Times New Roman" w:hAnsi="Times New Roman" w:eastAsia="仿宋" w:cs="Times New Roman"/>
                <w:b/>
                <w:bCs/>
                <w:sz w:val="28"/>
                <w:szCs w:val="28"/>
              </w:rPr>
              <w:t>2</w:t>
            </w:r>
            <w:r>
              <w:rPr>
                <w:rFonts w:hint="eastAsia" w:ascii="仿宋" w:hAnsi="仿宋" w:eastAsia="仿宋" w:cs="仿宋"/>
                <w:b/>
                <w:bCs/>
                <w:sz w:val="28"/>
                <w:szCs w:val="28"/>
              </w:rPr>
              <w:t xml:space="preserve"> 新丰县“十四五”电商、物流、金融发展主要指标一览表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1245"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类别</w:t>
            </w:r>
          </w:p>
        </w:tc>
        <w:tc>
          <w:tcPr>
            <w:tcW w:w="4369"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指标</w:t>
            </w:r>
          </w:p>
        </w:tc>
        <w:tc>
          <w:tcPr>
            <w:tcW w:w="1743"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2019年现状</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2025年目标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restart"/>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电商</w:t>
            </w:r>
          </w:p>
        </w:tc>
        <w:tc>
          <w:tcPr>
            <w:tcW w:w="4369" w:type="dxa"/>
            <w:vAlign w:val="center"/>
          </w:tcPr>
          <w:p>
            <w:pPr>
              <w:snapToGrid/>
              <w:spacing w:line="240" w:lineRule="auto"/>
              <w:ind w:left="0" w:leftChars="0" w:firstLine="0" w:firstLineChars="0"/>
              <w:jc w:val="left"/>
              <w:rPr>
                <w:rFonts w:ascii="仿宋" w:hAnsi="仿宋" w:eastAsia="仿宋" w:cs="仿宋"/>
                <w:sz w:val="28"/>
                <w:szCs w:val="28"/>
              </w:rPr>
            </w:pPr>
            <w:r>
              <w:rPr>
                <w:rFonts w:hint="eastAsia" w:ascii="仿宋" w:hAnsi="仿宋" w:eastAsia="仿宋" w:cs="仿宋"/>
                <w:sz w:val="28"/>
                <w:szCs w:val="28"/>
              </w:rPr>
              <w:t>电子商务交易额（万元）</w:t>
            </w:r>
          </w:p>
        </w:tc>
        <w:tc>
          <w:tcPr>
            <w:tcW w:w="1743"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5000</w:t>
            </w:r>
          </w:p>
        </w:tc>
        <w:tc>
          <w:tcPr>
            <w:tcW w:w="1808" w:type="dxa"/>
            <w:vAlign w:val="center"/>
          </w:tcPr>
          <w:p>
            <w:pPr>
              <w:tabs>
                <w:tab w:val="left" w:pos="539"/>
                <w:tab w:val="center" w:pos="1130"/>
              </w:tabs>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continue"/>
            <w:vAlign w:val="center"/>
          </w:tcPr>
          <w:p>
            <w:pPr>
              <w:snapToGrid/>
              <w:jc w:val="center"/>
              <w:rPr>
                <w:rFonts w:ascii="仿宋" w:hAnsi="仿宋" w:eastAsia="仿宋" w:cs="仿宋"/>
                <w:sz w:val="28"/>
                <w:szCs w:val="28"/>
              </w:rPr>
            </w:pPr>
          </w:p>
        </w:tc>
        <w:tc>
          <w:tcPr>
            <w:tcW w:w="4369" w:type="dxa"/>
            <w:vAlign w:val="center"/>
          </w:tcPr>
          <w:p>
            <w:pPr>
              <w:snapToGrid/>
              <w:spacing w:line="440" w:lineRule="exact"/>
              <w:ind w:left="0" w:leftChars="0" w:firstLine="0" w:firstLineChars="0"/>
              <w:jc w:val="left"/>
              <w:rPr>
                <w:rFonts w:ascii="仿宋" w:hAnsi="仿宋" w:eastAsia="仿宋" w:cs="仿宋"/>
                <w:sz w:val="28"/>
                <w:szCs w:val="28"/>
              </w:rPr>
            </w:pPr>
            <w:r>
              <w:rPr>
                <w:rFonts w:hint="eastAsia" w:ascii="仿宋" w:hAnsi="仿宋" w:eastAsia="仿宋" w:cs="仿宋"/>
                <w:sz w:val="28"/>
                <w:szCs w:val="28"/>
              </w:rPr>
              <w:t>电子商务交易额占社会消费品零售总额的比重（%）</w:t>
            </w:r>
          </w:p>
        </w:tc>
        <w:tc>
          <w:tcPr>
            <w:tcW w:w="1743"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1.6</w:t>
            </w:r>
            <w:r>
              <w:rPr>
                <w:rFonts w:ascii="仿宋" w:hAnsi="仿宋" w:eastAsia="仿宋" w:cs="仿宋"/>
                <w:sz w:val="28"/>
                <w:szCs w:val="28"/>
              </w:rPr>
              <w:t>%</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5</w:t>
            </w:r>
            <w:r>
              <w:rPr>
                <w:rFonts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continue"/>
            <w:vAlign w:val="center"/>
          </w:tcPr>
          <w:p>
            <w:pPr>
              <w:snapToGrid/>
              <w:jc w:val="center"/>
              <w:rPr>
                <w:rFonts w:ascii="仿宋" w:hAnsi="仿宋" w:eastAsia="仿宋" w:cs="仿宋"/>
                <w:sz w:val="28"/>
                <w:szCs w:val="28"/>
              </w:rPr>
            </w:pPr>
          </w:p>
        </w:tc>
        <w:tc>
          <w:tcPr>
            <w:tcW w:w="4369" w:type="dxa"/>
            <w:vAlign w:val="center"/>
          </w:tcPr>
          <w:p>
            <w:pPr>
              <w:snapToGrid/>
              <w:spacing w:line="240" w:lineRule="auto"/>
              <w:ind w:left="0" w:leftChars="0" w:firstLine="0" w:firstLineChars="0"/>
              <w:jc w:val="left"/>
              <w:rPr>
                <w:rFonts w:ascii="仿宋" w:hAnsi="仿宋" w:eastAsia="仿宋" w:cs="仿宋"/>
                <w:sz w:val="28"/>
                <w:szCs w:val="28"/>
              </w:rPr>
            </w:pPr>
            <w:r>
              <w:rPr>
                <w:rFonts w:hint="eastAsia" w:ascii="仿宋" w:hAnsi="仿宋" w:eastAsia="仿宋" w:cs="仿宋"/>
                <w:sz w:val="28"/>
                <w:szCs w:val="28"/>
              </w:rPr>
              <w:t>引进、培育大型电子商务企业（个）</w:t>
            </w:r>
          </w:p>
        </w:tc>
        <w:tc>
          <w:tcPr>
            <w:tcW w:w="1743" w:type="dxa"/>
            <w:shd w:val="clear" w:color="auto" w:fill="auto"/>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0</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continue"/>
            <w:vAlign w:val="center"/>
          </w:tcPr>
          <w:p>
            <w:pPr>
              <w:snapToGrid/>
              <w:jc w:val="center"/>
              <w:rPr>
                <w:rFonts w:ascii="仿宋" w:hAnsi="仿宋" w:eastAsia="仿宋" w:cs="仿宋"/>
                <w:sz w:val="28"/>
                <w:szCs w:val="28"/>
              </w:rPr>
            </w:pPr>
          </w:p>
        </w:tc>
        <w:tc>
          <w:tcPr>
            <w:tcW w:w="4369" w:type="dxa"/>
            <w:vAlign w:val="center"/>
          </w:tcPr>
          <w:p>
            <w:pPr>
              <w:snapToGrid/>
              <w:spacing w:line="440" w:lineRule="exact"/>
              <w:ind w:left="0" w:leftChars="0" w:firstLine="0" w:firstLineChars="0"/>
              <w:jc w:val="left"/>
              <w:rPr>
                <w:rFonts w:ascii="仿宋" w:hAnsi="仿宋" w:eastAsia="仿宋" w:cs="仿宋"/>
                <w:sz w:val="28"/>
                <w:szCs w:val="28"/>
              </w:rPr>
            </w:pPr>
            <w:r>
              <w:rPr>
                <w:rFonts w:hint="eastAsia" w:ascii="仿宋" w:hAnsi="仿宋" w:eastAsia="仿宋" w:cs="仿宋"/>
                <w:sz w:val="28"/>
                <w:szCs w:val="28"/>
              </w:rPr>
              <w:t>培育年交易额超过千万元的电子商务企业数量（家）</w:t>
            </w:r>
          </w:p>
        </w:tc>
        <w:tc>
          <w:tcPr>
            <w:tcW w:w="1743" w:type="dxa"/>
            <w:shd w:val="clear" w:color="auto" w:fill="auto"/>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0</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continue"/>
            <w:vAlign w:val="center"/>
          </w:tcPr>
          <w:p>
            <w:pPr>
              <w:snapToGrid/>
              <w:jc w:val="center"/>
              <w:rPr>
                <w:rFonts w:ascii="仿宋" w:hAnsi="仿宋" w:eastAsia="仿宋" w:cs="仿宋"/>
                <w:sz w:val="28"/>
                <w:szCs w:val="28"/>
              </w:rPr>
            </w:pPr>
          </w:p>
        </w:tc>
        <w:tc>
          <w:tcPr>
            <w:tcW w:w="4369" w:type="dxa"/>
            <w:vAlign w:val="center"/>
          </w:tcPr>
          <w:p>
            <w:pPr>
              <w:snapToGrid/>
              <w:spacing w:line="440" w:lineRule="exact"/>
              <w:ind w:left="0" w:leftChars="0" w:firstLine="0" w:firstLineChars="0"/>
              <w:jc w:val="left"/>
              <w:rPr>
                <w:rFonts w:ascii="仿宋" w:hAnsi="仿宋" w:eastAsia="仿宋" w:cs="仿宋"/>
                <w:sz w:val="28"/>
                <w:szCs w:val="28"/>
              </w:rPr>
            </w:pPr>
            <w:r>
              <w:rPr>
                <w:rFonts w:hint="eastAsia" w:ascii="仿宋" w:hAnsi="仿宋" w:eastAsia="仿宋" w:cs="仿宋"/>
                <w:sz w:val="28"/>
                <w:szCs w:val="28"/>
              </w:rPr>
              <w:t>农业产业化企业电子商务普及应用率（%）</w:t>
            </w:r>
          </w:p>
        </w:tc>
        <w:tc>
          <w:tcPr>
            <w:tcW w:w="1743" w:type="dxa"/>
            <w:shd w:val="clear" w:color="auto" w:fill="auto"/>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5</w:t>
            </w:r>
            <w:r>
              <w:rPr>
                <w:rFonts w:ascii="仿宋" w:hAnsi="仿宋" w:eastAsia="仿宋" w:cs="仿宋"/>
                <w:sz w:val="28"/>
                <w:szCs w:val="28"/>
              </w:rPr>
              <w:t>%</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30</w:t>
            </w:r>
            <w:r>
              <w:rPr>
                <w:rFonts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continue"/>
            <w:vAlign w:val="center"/>
          </w:tcPr>
          <w:p>
            <w:pPr>
              <w:snapToGrid/>
              <w:jc w:val="center"/>
              <w:rPr>
                <w:rFonts w:ascii="仿宋" w:hAnsi="仿宋" w:eastAsia="仿宋" w:cs="仿宋"/>
                <w:sz w:val="28"/>
                <w:szCs w:val="28"/>
              </w:rPr>
            </w:pPr>
          </w:p>
        </w:tc>
        <w:tc>
          <w:tcPr>
            <w:tcW w:w="4369" w:type="dxa"/>
            <w:vAlign w:val="center"/>
          </w:tcPr>
          <w:p>
            <w:pPr>
              <w:snapToGrid/>
              <w:spacing w:line="440" w:lineRule="exact"/>
              <w:ind w:left="0" w:leftChars="0" w:firstLine="0" w:firstLineChars="0"/>
              <w:jc w:val="left"/>
              <w:rPr>
                <w:rFonts w:ascii="仿宋" w:hAnsi="仿宋" w:eastAsia="仿宋" w:cs="仿宋"/>
                <w:sz w:val="28"/>
                <w:szCs w:val="28"/>
              </w:rPr>
            </w:pPr>
            <w:r>
              <w:rPr>
                <w:rFonts w:hint="eastAsia" w:ascii="仿宋" w:hAnsi="仿宋" w:eastAsia="仿宋" w:cs="仿宋"/>
                <w:sz w:val="28"/>
                <w:szCs w:val="28"/>
              </w:rPr>
              <w:t>规模以上工业企业电子商务应用普及率（%）</w:t>
            </w:r>
          </w:p>
        </w:tc>
        <w:tc>
          <w:tcPr>
            <w:tcW w:w="1743" w:type="dxa"/>
            <w:shd w:val="clear" w:color="auto" w:fill="auto"/>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5</w:t>
            </w:r>
            <w:r>
              <w:rPr>
                <w:rFonts w:ascii="仿宋" w:hAnsi="仿宋" w:eastAsia="仿宋" w:cs="仿宋"/>
                <w:sz w:val="28"/>
                <w:szCs w:val="28"/>
              </w:rPr>
              <w:t>%</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15</w:t>
            </w:r>
            <w:r>
              <w:rPr>
                <w:rFonts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continue"/>
            <w:vAlign w:val="center"/>
          </w:tcPr>
          <w:p>
            <w:pPr>
              <w:snapToGrid/>
              <w:jc w:val="center"/>
              <w:rPr>
                <w:rFonts w:ascii="仿宋" w:hAnsi="仿宋" w:eastAsia="仿宋" w:cs="仿宋"/>
                <w:sz w:val="28"/>
                <w:szCs w:val="28"/>
              </w:rPr>
            </w:pPr>
          </w:p>
        </w:tc>
        <w:tc>
          <w:tcPr>
            <w:tcW w:w="4369" w:type="dxa"/>
            <w:vAlign w:val="center"/>
          </w:tcPr>
          <w:p>
            <w:pPr>
              <w:snapToGrid/>
              <w:spacing w:line="440" w:lineRule="exact"/>
              <w:ind w:left="0" w:leftChars="0" w:firstLine="0" w:firstLineChars="0"/>
              <w:jc w:val="left"/>
              <w:rPr>
                <w:rFonts w:ascii="仿宋" w:hAnsi="仿宋" w:eastAsia="仿宋" w:cs="仿宋"/>
                <w:sz w:val="28"/>
                <w:szCs w:val="28"/>
              </w:rPr>
            </w:pPr>
            <w:r>
              <w:rPr>
                <w:rFonts w:hint="eastAsia" w:ascii="仿宋" w:hAnsi="仿宋" w:eastAsia="仿宋" w:cs="仿宋"/>
                <w:sz w:val="28"/>
                <w:szCs w:val="28"/>
              </w:rPr>
              <w:t>企业培养、引进名电子商务人才数量（人）</w:t>
            </w:r>
          </w:p>
        </w:tc>
        <w:tc>
          <w:tcPr>
            <w:tcW w:w="1743" w:type="dxa"/>
            <w:shd w:val="clear" w:color="auto" w:fill="auto"/>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restart"/>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物流</w:t>
            </w:r>
          </w:p>
        </w:tc>
        <w:tc>
          <w:tcPr>
            <w:tcW w:w="4369" w:type="dxa"/>
            <w:vAlign w:val="center"/>
          </w:tcPr>
          <w:p>
            <w:pPr>
              <w:snapToGrid/>
              <w:spacing w:line="240" w:lineRule="auto"/>
              <w:ind w:left="0" w:leftChars="0" w:firstLine="0" w:firstLineChars="0"/>
              <w:jc w:val="left"/>
              <w:rPr>
                <w:rFonts w:ascii="仿宋" w:hAnsi="仿宋" w:eastAsia="仿宋" w:cs="仿宋"/>
                <w:sz w:val="28"/>
                <w:szCs w:val="28"/>
              </w:rPr>
            </w:pPr>
            <w:r>
              <w:rPr>
                <w:rFonts w:hint="eastAsia" w:ascii="仿宋" w:hAnsi="仿宋" w:eastAsia="仿宋" w:cs="仿宋"/>
                <w:sz w:val="28"/>
                <w:szCs w:val="28"/>
              </w:rPr>
              <w:t>村级服务站点（个）</w:t>
            </w:r>
          </w:p>
        </w:tc>
        <w:tc>
          <w:tcPr>
            <w:tcW w:w="1743" w:type="dxa"/>
            <w:shd w:val="clear" w:color="auto" w:fill="auto"/>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32</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continue"/>
            <w:vAlign w:val="center"/>
          </w:tcPr>
          <w:p>
            <w:pPr>
              <w:snapToGrid/>
              <w:jc w:val="center"/>
              <w:rPr>
                <w:rFonts w:ascii="仿宋" w:hAnsi="仿宋" w:eastAsia="仿宋" w:cs="仿宋"/>
                <w:sz w:val="28"/>
                <w:szCs w:val="28"/>
              </w:rPr>
            </w:pPr>
          </w:p>
        </w:tc>
        <w:tc>
          <w:tcPr>
            <w:tcW w:w="4369" w:type="dxa"/>
            <w:vAlign w:val="center"/>
          </w:tcPr>
          <w:p>
            <w:pPr>
              <w:snapToGrid/>
              <w:spacing w:line="240" w:lineRule="auto"/>
              <w:ind w:left="0" w:leftChars="0" w:firstLine="0" w:firstLineChars="0"/>
              <w:jc w:val="left"/>
              <w:rPr>
                <w:rFonts w:ascii="仿宋" w:hAnsi="仿宋" w:eastAsia="仿宋" w:cs="仿宋"/>
                <w:color w:val="FF0000"/>
                <w:sz w:val="28"/>
                <w:szCs w:val="28"/>
              </w:rPr>
            </w:pPr>
            <w:r>
              <w:rPr>
                <w:rFonts w:hint="eastAsia" w:ascii="仿宋" w:hAnsi="仿宋" w:eastAsia="仿宋" w:cs="仿宋"/>
                <w:sz w:val="28"/>
                <w:szCs w:val="28"/>
              </w:rPr>
              <w:t>站点行政村覆盖率（%）</w:t>
            </w:r>
          </w:p>
        </w:tc>
        <w:tc>
          <w:tcPr>
            <w:tcW w:w="1743" w:type="dxa"/>
            <w:shd w:val="clear" w:color="auto" w:fill="auto"/>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20</w:t>
            </w:r>
            <w:r>
              <w:rPr>
                <w:rFonts w:ascii="仿宋" w:hAnsi="仿宋" w:eastAsia="仿宋" w:cs="仿宋"/>
                <w:sz w:val="28"/>
                <w:szCs w:val="28"/>
              </w:rPr>
              <w:t>%</w:t>
            </w:r>
          </w:p>
        </w:tc>
        <w:tc>
          <w:tcPr>
            <w:tcW w:w="1808" w:type="dxa"/>
            <w:vAlign w:val="center"/>
          </w:tcPr>
          <w:p>
            <w:pPr>
              <w:snapToGrid/>
              <w:spacing w:line="240" w:lineRule="auto"/>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70</w:t>
            </w:r>
            <w:r>
              <w:rPr>
                <w:rFonts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Merge w:val="continue"/>
            <w:vAlign w:val="center"/>
          </w:tcPr>
          <w:p>
            <w:pPr>
              <w:snapToGrid/>
              <w:jc w:val="center"/>
              <w:rPr>
                <w:rFonts w:ascii="仿宋" w:hAnsi="仿宋" w:eastAsia="仿宋" w:cs="仿宋"/>
                <w:sz w:val="28"/>
                <w:szCs w:val="28"/>
              </w:rPr>
            </w:pPr>
          </w:p>
        </w:tc>
        <w:tc>
          <w:tcPr>
            <w:tcW w:w="4369" w:type="dxa"/>
            <w:vAlign w:val="center"/>
          </w:tcPr>
          <w:p>
            <w:pPr>
              <w:snapToGrid/>
              <w:ind w:left="0" w:leftChars="0" w:firstLine="0" w:firstLineChars="0"/>
              <w:jc w:val="left"/>
              <w:rPr>
                <w:rFonts w:ascii="仿宋" w:hAnsi="仿宋" w:eastAsia="仿宋" w:cs="仿宋"/>
                <w:sz w:val="28"/>
                <w:szCs w:val="28"/>
              </w:rPr>
            </w:pPr>
            <w:r>
              <w:rPr>
                <w:rFonts w:hint="eastAsia" w:ascii="仿宋" w:hAnsi="仿宋" w:eastAsia="仿宋" w:cs="仿宋"/>
                <w:bCs/>
                <w:sz w:val="28"/>
                <w:szCs w:val="28"/>
              </w:rPr>
              <w:t>培育、引进现代物流管理人才（名）</w:t>
            </w:r>
          </w:p>
        </w:tc>
        <w:tc>
          <w:tcPr>
            <w:tcW w:w="1743"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w:t>
            </w:r>
          </w:p>
        </w:tc>
        <w:tc>
          <w:tcPr>
            <w:tcW w:w="1808"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45" w:type="dxa"/>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金融</w:t>
            </w:r>
          </w:p>
        </w:tc>
        <w:tc>
          <w:tcPr>
            <w:tcW w:w="4369" w:type="dxa"/>
            <w:vAlign w:val="center"/>
          </w:tcPr>
          <w:p>
            <w:pPr>
              <w:snapToGrid/>
              <w:ind w:left="0" w:leftChars="0" w:firstLine="0" w:firstLineChars="0"/>
              <w:jc w:val="left"/>
              <w:rPr>
                <w:rFonts w:ascii="仿宋" w:hAnsi="仿宋" w:eastAsia="仿宋" w:cs="仿宋"/>
                <w:sz w:val="28"/>
                <w:szCs w:val="28"/>
                <w:highlight w:val="yellow"/>
              </w:rPr>
            </w:pPr>
            <w:r>
              <w:rPr>
                <w:rFonts w:hint="eastAsia" w:ascii="仿宋" w:hAnsi="仿宋" w:eastAsia="仿宋" w:cs="仿宋"/>
                <w:sz w:val="28"/>
                <w:szCs w:val="28"/>
              </w:rPr>
              <w:t>大学生小额贷款额度（万元）</w:t>
            </w:r>
          </w:p>
        </w:tc>
        <w:tc>
          <w:tcPr>
            <w:tcW w:w="1743"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10</w:t>
            </w:r>
          </w:p>
        </w:tc>
        <w:tc>
          <w:tcPr>
            <w:tcW w:w="1808" w:type="dxa"/>
            <w:shd w:val="clear" w:color="auto" w:fill="auto"/>
            <w:vAlign w:val="center"/>
          </w:tcPr>
          <w:p>
            <w:pPr>
              <w:snapToGrid/>
              <w:ind w:left="0" w:leftChars="0" w:firstLine="0" w:firstLineChars="0"/>
              <w:jc w:val="center"/>
              <w:rPr>
                <w:rFonts w:ascii="仿宋" w:hAnsi="仿宋" w:eastAsia="仿宋" w:cs="仿宋"/>
                <w:sz w:val="28"/>
                <w:szCs w:val="28"/>
              </w:rPr>
            </w:pPr>
            <w:r>
              <w:rPr>
                <w:rFonts w:hint="eastAsia" w:ascii="仿宋" w:hAnsi="仿宋" w:eastAsia="仿宋" w:cs="仿宋"/>
                <w:sz w:val="28"/>
                <w:szCs w:val="28"/>
              </w:rPr>
              <w:t>30</w:t>
            </w:r>
          </w:p>
        </w:tc>
      </w:tr>
    </w:tbl>
    <w:p>
      <w:pPr>
        <w:numPr>
          <w:ilvl w:val="0"/>
          <w:numId w:val="1"/>
        </w:numPr>
        <w:adjustRightInd w:val="0"/>
        <w:snapToGrid/>
        <w:spacing w:before="316" w:beforeLines="50" w:line="324" w:lineRule="auto"/>
        <w:ind w:firstLine="630" w:firstLineChars="200"/>
        <w:outlineLvl w:val="0"/>
        <w:rPr>
          <w:rFonts w:ascii="黑体" w:hAnsi="黑体" w:eastAsia="黑体"/>
          <w:b/>
          <w:color w:val="000000"/>
          <w:szCs w:val="32"/>
        </w:rPr>
      </w:pPr>
      <w:bookmarkStart w:id="28" w:name="_Toc15205"/>
      <w:r>
        <w:rPr>
          <w:rFonts w:hint="eastAsia" w:ascii="黑体" w:hAnsi="黑体" w:eastAsia="黑体"/>
          <w:b/>
          <w:color w:val="000000"/>
          <w:szCs w:val="32"/>
        </w:rPr>
        <w:t>空间布局</w:t>
      </w:r>
      <w:bookmarkEnd w:id="28"/>
    </w:p>
    <w:p>
      <w:pPr>
        <w:numPr>
          <w:ilvl w:val="0"/>
          <w:numId w:val="4"/>
        </w:numPr>
        <w:adjustRightInd w:val="0"/>
        <w:snapToGrid/>
        <w:spacing w:line="240" w:lineRule="auto"/>
        <w:outlineLvl w:val="1"/>
        <w:rPr>
          <w:rFonts w:ascii="楷体_GB2312" w:eastAsia="楷体_GB2312"/>
          <w:b/>
          <w:bCs/>
          <w:color w:val="000000"/>
          <w:szCs w:val="32"/>
        </w:rPr>
      </w:pPr>
      <w:bookmarkStart w:id="29" w:name="_Toc31939"/>
      <w:r>
        <w:rPr>
          <w:rFonts w:hint="eastAsia" w:ascii="楷体_GB2312" w:eastAsia="楷体_GB2312"/>
          <w:b/>
          <w:bCs/>
          <w:color w:val="000000"/>
          <w:szCs w:val="32"/>
        </w:rPr>
        <w:t>总体布局</w:t>
      </w:r>
      <w:bookmarkEnd w:id="29"/>
    </w:p>
    <w:p>
      <w:pPr>
        <w:bidi w:val="0"/>
      </w:pPr>
      <w:r>
        <w:rPr>
          <w:rFonts w:hint="eastAsia"/>
        </w:rPr>
        <w:t>按照“一园三基地，多点覆盖”的电子商务布局规划，以及“四位一体，双擎驱动”的电子商务服务园区功能设计，建设集“网络交易”、“商品展贸”、“创业孵化”、“物流集散”四位于一体，“品牌打造”和“公共服务”双引擎驱动的电子商务示范区；形成以电子商务示范园区及“农特产品基地”、“文化旅游基地”、“</w:t>
      </w:r>
      <w:r>
        <w:t>省级茶叶产业</w:t>
      </w:r>
      <w:r>
        <w:rPr>
          <w:rFonts w:hint="eastAsia"/>
        </w:rPr>
        <w:t>基地”三个应用基地为载体，县、镇、村三级</w:t>
      </w:r>
      <w:r>
        <w:t>物流</w:t>
      </w:r>
      <w:r>
        <w:rPr>
          <w:rFonts w:hint="eastAsia"/>
        </w:rPr>
        <w:t>体系多点覆盖的电子商务发展格局。</w:t>
      </w:r>
    </w:p>
    <w:p>
      <w:pPr>
        <w:bidi w:val="0"/>
        <w:rPr>
          <w:rFonts w:ascii="仿宋" w:hAnsi="仿宋" w:eastAsia="仿宋"/>
          <w:bCs/>
          <w:szCs w:val="32"/>
        </w:rPr>
      </w:pPr>
      <w:r>
        <w:rPr>
          <w:rFonts w:hint="eastAsia"/>
        </w:rPr>
        <w:t>为了深化制造业与物流业融合发展，为工业提供高效现代化物流服务，分别在创</w:t>
      </w:r>
      <w:r>
        <w:t>新</w:t>
      </w:r>
      <w:r>
        <w:rPr>
          <w:rFonts w:hint="eastAsia"/>
        </w:rPr>
        <w:t>园、马头园、回龙园、遥田园</w:t>
      </w:r>
      <w:r>
        <w:t>4个工业园区</w:t>
      </w:r>
      <w:r>
        <w:rPr>
          <w:rFonts w:hint="eastAsia"/>
        </w:rPr>
        <w:t>设立</w:t>
      </w:r>
      <w:r>
        <w:t>电子商务及仓储物流基地。</w:t>
      </w:r>
      <w:r>
        <w:rPr>
          <w:rFonts w:hint="eastAsia"/>
        </w:rPr>
        <w:t>主要满足汽车配件、</w:t>
      </w:r>
      <w:r>
        <w:t>食品加工、</w:t>
      </w:r>
      <w:r>
        <w:rPr>
          <w:rFonts w:hint="eastAsia"/>
        </w:rPr>
        <w:t>环保餐具、环保涂料、稀土材料、建筑材料等产业生产性物流需求，为生产制造企业和商贸流通企业提供原材料和产成品仓储、运输、供应链一体化的全方位服务。</w:t>
      </w:r>
      <w:r>
        <w:t>针对重点发展蔬菜、瓜果等农产品加工产业的园区，完善流通加工功能，提供农产品分等分级、称重计量、贴签包装、预冷仓储等服务</w:t>
      </w:r>
      <w:r>
        <w:rPr>
          <w:rFonts w:hint="eastAsia"/>
        </w:rPr>
        <w:t>；</w:t>
      </w:r>
      <w:r>
        <w:t>配备智能化的加工过程质量</w:t>
      </w:r>
      <w:r>
        <w:rPr>
          <w:rFonts w:hint="eastAsia" w:ascii="仿宋" w:hAnsi="仿宋" w:eastAsia="仿宋"/>
          <w:bCs/>
          <w:szCs w:val="32"/>
        </w:rPr>
        <w:t>监测</w:t>
      </w:r>
      <w:r>
        <w:rPr>
          <w:rFonts w:ascii="仿宋" w:hAnsi="仿宋" w:eastAsia="仿宋"/>
          <w:bCs/>
          <w:szCs w:val="32"/>
        </w:rPr>
        <w:t>和农产品质量追溯设备，助力打造标准化、品牌化的“农特产品基地”。</w:t>
      </w:r>
    </w:p>
    <w:p>
      <w:pPr>
        <w:pStyle w:val="12"/>
        <w:snapToGrid/>
        <w:spacing w:after="0"/>
        <w:ind w:left="0" w:leftChars="0" w:firstLine="0" w:firstLineChars="0"/>
      </w:pPr>
      <w:r>
        <w:drawing>
          <wp:inline distT="0" distB="0" distL="114300" distR="114300">
            <wp:extent cx="5723890" cy="3957955"/>
            <wp:effectExtent l="0" t="0" r="165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723890" cy="3957955"/>
                    </a:xfrm>
                    <a:prstGeom prst="rect">
                      <a:avLst/>
                    </a:prstGeom>
                    <a:noFill/>
                    <a:ln w="9525">
                      <a:noFill/>
                    </a:ln>
                  </pic:spPr>
                </pic:pic>
              </a:graphicData>
            </a:graphic>
          </wp:inline>
        </w:drawing>
      </w:r>
    </w:p>
    <w:p>
      <w:pPr>
        <w:numPr>
          <w:ilvl w:val="0"/>
          <w:numId w:val="4"/>
        </w:numPr>
        <w:adjustRightInd w:val="0"/>
        <w:snapToGrid/>
        <w:spacing w:line="240" w:lineRule="auto"/>
        <w:outlineLvl w:val="1"/>
        <w:rPr>
          <w:rFonts w:ascii="楷体_GB2312" w:eastAsia="楷体_GB2312"/>
          <w:b/>
          <w:bCs/>
          <w:color w:val="000000"/>
          <w:szCs w:val="32"/>
        </w:rPr>
      </w:pPr>
      <w:bookmarkStart w:id="30" w:name="_Toc17462"/>
      <w:r>
        <w:rPr>
          <w:rFonts w:hint="eastAsia" w:ascii="楷体_GB2312" w:eastAsia="楷体_GB2312"/>
          <w:b/>
          <w:bCs/>
          <w:color w:val="000000"/>
          <w:szCs w:val="32"/>
        </w:rPr>
        <w:t>“</w:t>
      </w:r>
      <w:r>
        <w:rPr>
          <w:rFonts w:hint="default" w:ascii="Times New Roman" w:hAnsi="Times New Roman" w:eastAsia="楷体_GB2312" w:cs="Times New Roman"/>
          <w:b/>
          <w:bCs/>
          <w:color w:val="000000"/>
          <w:szCs w:val="32"/>
        </w:rPr>
        <w:t>1+6+100</w:t>
      </w:r>
      <w:r>
        <w:rPr>
          <w:rFonts w:hint="eastAsia" w:ascii="楷体_GB2312" w:eastAsia="楷体_GB2312"/>
          <w:b/>
          <w:bCs/>
          <w:color w:val="000000"/>
          <w:szCs w:val="32"/>
        </w:rPr>
        <w:t>”节点布局</w:t>
      </w:r>
      <w:bookmarkEnd w:id="30"/>
    </w:p>
    <w:p>
      <w:pPr>
        <w:bidi w:val="0"/>
      </w:pPr>
      <w:r>
        <w:rPr>
          <w:rFonts w:ascii="仿宋" w:hAnsi="仿宋" w:eastAsia="仿宋"/>
          <w:b/>
          <w:bCs w:val="0"/>
          <w:szCs w:val="32"/>
        </w:rPr>
        <w:t>1个</w:t>
      </w:r>
      <w:r>
        <w:rPr>
          <w:rFonts w:hint="eastAsia" w:ascii="仿宋" w:hAnsi="仿宋" w:eastAsia="仿宋"/>
          <w:b/>
          <w:bCs w:val="0"/>
          <w:szCs w:val="32"/>
        </w:rPr>
        <w:t>县级中心。</w:t>
      </w:r>
      <w:r>
        <w:rPr>
          <w:rFonts w:hint="eastAsia" w:ascii="仿宋" w:hAnsi="仿宋" w:eastAsia="仿宋"/>
          <w:bCs/>
          <w:szCs w:val="32"/>
        </w:rPr>
        <w:t>为了推进省级电子</w:t>
      </w:r>
      <w:r>
        <w:rPr>
          <w:rFonts w:hint="eastAsia"/>
        </w:rPr>
        <w:t>商务进农村示范县工作，新丰县联合大型物流公司，在县城建立</w:t>
      </w:r>
      <w:r>
        <w:t>1</w:t>
      </w:r>
      <w:r>
        <w:rPr>
          <w:rFonts w:hint="eastAsia"/>
        </w:rPr>
        <w:t>个全新的县级运营中心，打造省级电子商务示范园区。</w:t>
      </w:r>
      <w:r>
        <w:t>作为县域内最大的物流集散地，县级中心集智能化、数字化的分拣处理、仓储管理、商务办公等功能于一体。同时，</w:t>
      </w:r>
      <w:r>
        <w:rPr>
          <w:rFonts w:hint="eastAsia"/>
        </w:rPr>
        <w:t>通过聚集电商龙头企业，连片打造电子商务辐射</w:t>
      </w:r>
      <w:r>
        <w:t>中心。</w:t>
      </w:r>
      <w:r>
        <w:rPr>
          <w:rFonts w:hint="eastAsia"/>
        </w:rPr>
        <w:t>以运营中心为依托和平台，集中为</w:t>
      </w:r>
      <w:r>
        <w:t>电商</w:t>
      </w:r>
      <w:r>
        <w:rPr>
          <w:rFonts w:hint="eastAsia"/>
        </w:rPr>
        <w:t>企业和个人提供政策咨询、专业培训、信息对接、产品推介、技术指导、快递物流、法律支持和办公场所等服务，不断完善并充分发挥扶助功能。</w:t>
      </w:r>
    </w:p>
    <w:p>
      <w:pPr>
        <w:bidi w:val="0"/>
      </w:pPr>
      <w:r>
        <w:rPr>
          <w:b/>
          <w:bCs/>
        </w:rPr>
        <w:t>6个</w:t>
      </w:r>
      <w:r>
        <w:rPr>
          <w:rFonts w:hint="eastAsia"/>
          <w:b/>
          <w:bCs/>
        </w:rPr>
        <w:t>镇级站</w:t>
      </w:r>
      <w:r>
        <w:rPr>
          <w:b/>
          <w:bCs/>
        </w:rPr>
        <w:t>点</w:t>
      </w:r>
      <w:r>
        <w:rPr>
          <w:rFonts w:hint="eastAsia"/>
          <w:b/>
          <w:bCs/>
        </w:rPr>
        <w:t>。</w:t>
      </w:r>
      <w:r>
        <w:rPr>
          <w:rFonts w:hint="eastAsia"/>
        </w:rPr>
        <w:t>在</w:t>
      </w:r>
      <w:r>
        <w:t>6个乡镇</w:t>
      </w:r>
      <w:r>
        <w:rPr>
          <w:rFonts w:hint="eastAsia"/>
        </w:rPr>
        <w:t>各建立</w:t>
      </w:r>
      <w:r>
        <w:t>1个镇级农村物流站点，</w:t>
      </w:r>
      <w:r>
        <w:rPr>
          <w:rFonts w:hint="eastAsia"/>
        </w:rPr>
        <w:t>运营方式为快递企业在农村自设网点、快递企业抱团共建网点、快递企业与邮政</w:t>
      </w:r>
      <w:r>
        <w:rPr>
          <w:rFonts w:hint="default"/>
        </w:rPr>
        <w:t>公司</w:t>
      </w:r>
      <w:r>
        <w:rPr>
          <w:rFonts w:hint="eastAsia"/>
        </w:rPr>
        <w:t>合作、快递企业与农村客运班车及客运站合作、快递企业与供销社和电商平台合作、快递企业与第三方独立平台合作等。</w:t>
      </w:r>
      <w:r>
        <w:t>通过</w:t>
      </w:r>
      <w:r>
        <w:rPr>
          <w:rFonts w:hint="eastAsia"/>
        </w:rPr>
        <w:t>推进物流行业</w:t>
      </w:r>
      <w:r>
        <w:t>资源</w:t>
      </w:r>
      <w:r>
        <w:rPr>
          <w:rFonts w:hint="eastAsia"/>
        </w:rPr>
        <w:t>有效整合</w:t>
      </w:r>
      <w:r>
        <w:t>，制定合作运营体系的规范管理制度，有效降低物流配送成本，镇级站</w:t>
      </w:r>
      <w:r>
        <w:rPr>
          <w:rFonts w:hint="eastAsia"/>
        </w:rPr>
        <w:t>将</w:t>
      </w:r>
      <w:r>
        <w:t>成为农产品进城与工业品下乡双向通道中的重要节点。</w:t>
      </w:r>
    </w:p>
    <w:p>
      <w:pPr>
        <w:bidi w:val="0"/>
        <w:rPr>
          <w:rFonts w:ascii="仿宋" w:hAnsi="仿宋" w:eastAsia="仿宋"/>
          <w:bCs/>
          <w:szCs w:val="32"/>
        </w:rPr>
      </w:pPr>
      <w:r>
        <w:rPr>
          <w:b/>
          <w:bCs/>
        </w:rPr>
        <w:t>100个</w:t>
      </w:r>
      <w:r>
        <w:rPr>
          <w:rFonts w:hint="eastAsia"/>
          <w:b/>
          <w:bCs/>
        </w:rPr>
        <w:t>村级站</w:t>
      </w:r>
      <w:r>
        <w:rPr>
          <w:b/>
          <w:bCs/>
        </w:rPr>
        <w:t>点</w:t>
      </w:r>
      <w:r>
        <w:rPr>
          <w:rFonts w:hint="eastAsia"/>
          <w:b/>
          <w:bCs/>
        </w:rPr>
        <w:t>。</w:t>
      </w:r>
      <w:r>
        <w:rPr>
          <w:rFonts w:hint="default"/>
        </w:rPr>
        <w:t>整合利用</w:t>
      </w:r>
      <w:r>
        <w:rPr>
          <w:rFonts w:hint="eastAsia" w:ascii="仿宋" w:hAnsi="仿宋" w:eastAsia="仿宋"/>
          <w:bCs/>
          <w:szCs w:val="32"/>
        </w:rPr>
        <w:t>生活综合服务中心、超市、村邮站、快递网点、乐村淘等功能设施，</w:t>
      </w:r>
      <w:r>
        <w:t>建立100个村级农村物流站点，</w:t>
      </w:r>
      <w:r>
        <w:rPr>
          <w:rFonts w:hint="eastAsia"/>
        </w:rPr>
        <w:t>实现</w:t>
      </w:r>
      <w:r>
        <w:t>村级</w:t>
      </w:r>
      <w:r>
        <w:rPr>
          <w:rFonts w:hint="eastAsia"/>
        </w:rPr>
        <w:t>站点覆盖70%</w:t>
      </w:r>
      <w:r>
        <w:t>的行政村，</w:t>
      </w:r>
      <w:r>
        <w:rPr>
          <w:rFonts w:hint="eastAsia"/>
        </w:rPr>
        <w:t>健全县</w:t>
      </w:r>
      <w:r>
        <w:t>、</w:t>
      </w:r>
      <w:r>
        <w:rPr>
          <w:rFonts w:hint="eastAsia"/>
        </w:rPr>
        <w:t>乡</w:t>
      </w:r>
      <w:r>
        <w:t>、</w:t>
      </w:r>
      <w:r>
        <w:rPr>
          <w:rFonts w:hint="eastAsia"/>
        </w:rPr>
        <w:t>村三级物流配送体系，解决电子商务进农村“最后一公里”难题，确保</w:t>
      </w:r>
      <w:r>
        <w:t>县级集散</w:t>
      </w:r>
      <w:r>
        <w:rPr>
          <w:rFonts w:hint="eastAsia"/>
        </w:rPr>
        <w:t>中心到村级服务站</w:t>
      </w:r>
      <w:bookmarkStart w:id="31" w:name="OLE_LINK2"/>
      <w:bookmarkStart w:id="32" w:name="OLE_LINK1"/>
      <w:r>
        <w:rPr>
          <w:rFonts w:hint="eastAsia"/>
        </w:rPr>
        <w:t>24小时</w:t>
      </w:r>
      <w:bookmarkEnd w:id="31"/>
      <w:bookmarkEnd w:id="32"/>
      <w:r>
        <w:rPr>
          <w:rFonts w:hint="eastAsia"/>
        </w:rPr>
        <w:t>内完成配送</w:t>
      </w:r>
      <w:r>
        <w:rPr>
          <w:rFonts w:hint="default"/>
        </w:rPr>
        <w:t>。</w:t>
      </w:r>
      <w:r>
        <w:rPr>
          <w:rFonts w:hint="eastAsia" w:ascii="仿宋" w:hAnsi="仿宋" w:eastAsia="仿宋"/>
          <w:bCs/>
          <w:szCs w:val="32"/>
        </w:rPr>
        <w:t>提供快递取寄、邮政服务、农产品上行、工业品下行、民政综合服务等。</w:t>
      </w:r>
    </w:p>
    <w:p>
      <w:pPr>
        <w:numPr>
          <w:ilvl w:val="0"/>
          <w:numId w:val="1"/>
        </w:numPr>
        <w:adjustRightInd w:val="0"/>
        <w:snapToGrid/>
        <w:spacing w:line="324" w:lineRule="auto"/>
        <w:ind w:firstLine="630" w:firstLineChars="200"/>
        <w:outlineLvl w:val="0"/>
        <w:rPr>
          <w:rFonts w:ascii="黑体" w:hAnsi="黑体" w:eastAsia="黑体"/>
          <w:b/>
          <w:color w:val="000000"/>
          <w:szCs w:val="32"/>
        </w:rPr>
      </w:pPr>
      <w:bookmarkStart w:id="33" w:name="_Toc21541"/>
      <w:r>
        <w:rPr>
          <w:rFonts w:hint="eastAsia" w:ascii="黑体" w:hAnsi="黑体" w:eastAsia="黑体"/>
          <w:b/>
          <w:color w:val="000000"/>
          <w:szCs w:val="32"/>
        </w:rPr>
        <w:t>发展重点</w:t>
      </w:r>
      <w:bookmarkEnd w:id="33"/>
    </w:p>
    <w:p>
      <w:pPr>
        <w:numPr>
          <w:ilvl w:val="0"/>
          <w:numId w:val="5"/>
        </w:numPr>
        <w:adjustRightInd w:val="0"/>
        <w:snapToGrid/>
        <w:spacing w:line="240" w:lineRule="auto"/>
        <w:outlineLvl w:val="1"/>
        <w:rPr>
          <w:rFonts w:ascii="楷体_GB2312" w:eastAsia="楷体_GB2312"/>
          <w:b/>
          <w:bCs/>
          <w:color w:val="000000"/>
          <w:szCs w:val="32"/>
        </w:rPr>
      </w:pPr>
      <w:bookmarkStart w:id="34" w:name="OLE_LINK80"/>
      <w:bookmarkStart w:id="35" w:name="_Toc5810"/>
      <w:r>
        <w:rPr>
          <w:rFonts w:ascii="楷体_GB2312" w:eastAsia="楷体_GB2312"/>
          <w:b/>
          <w:bCs/>
          <w:color w:val="000000"/>
          <w:szCs w:val="32"/>
        </w:rPr>
        <w:t>普及</w:t>
      </w:r>
      <w:r>
        <w:rPr>
          <w:rFonts w:hint="eastAsia" w:ascii="楷体_GB2312" w:eastAsia="楷体_GB2312"/>
          <w:b/>
          <w:bCs/>
          <w:color w:val="000000"/>
          <w:szCs w:val="32"/>
        </w:rPr>
        <w:t>“</w:t>
      </w:r>
      <w:r>
        <w:rPr>
          <w:rFonts w:ascii="楷体_GB2312" w:eastAsia="楷体_GB2312"/>
          <w:b/>
          <w:bCs/>
          <w:color w:val="000000"/>
          <w:szCs w:val="32"/>
        </w:rPr>
        <w:t>互联网+</w:t>
      </w:r>
      <w:r>
        <w:rPr>
          <w:rFonts w:hint="eastAsia" w:ascii="楷体_GB2312" w:eastAsia="楷体_GB2312"/>
          <w:b/>
          <w:bCs/>
          <w:color w:val="000000"/>
          <w:szCs w:val="32"/>
        </w:rPr>
        <w:t>”，引导产业融合</w:t>
      </w:r>
      <w:bookmarkEnd w:id="34"/>
      <w:bookmarkEnd w:id="35"/>
    </w:p>
    <w:p>
      <w:pPr>
        <w:bidi w:val="0"/>
      </w:pPr>
      <w:r>
        <w:rPr>
          <w:rFonts w:hint="eastAsia"/>
          <w:b/>
          <w:bCs/>
        </w:rPr>
        <w:t>引导传统产业开展电子商务应用。</w:t>
      </w:r>
      <w:r>
        <w:rPr>
          <w:rFonts w:hint="eastAsia"/>
        </w:rPr>
        <w:t>以县域内的龙头产业为依托，探索“互联网+”的发展新模式。引导生产制造、生活消费品、生活服务等传统行业的</w:t>
      </w:r>
      <w:bookmarkStart w:id="36" w:name="OLE_LINK97"/>
      <w:r>
        <w:rPr>
          <w:rFonts w:hint="eastAsia"/>
        </w:rPr>
        <w:t>重点企业进行数字化转型升级</w:t>
      </w:r>
      <w:bookmarkEnd w:id="36"/>
      <w:r>
        <w:rPr>
          <w:rFonts w:hint="eastAsia"/>
        </w:rPr>
        <w:t xml:space="preserve">，促进企业内部的信息化建设，推动移动互联网、云计算、大数据、物联网等技术与现代制造业结合，支持垂直细分领域龙头企业单独或联合开发自身的电商交易平台，发展一批销售类、服务类和跨境贸易类电商平台，促进电子商务、工业互联网和互联网金融的健康发展，探索工业电子商务发展的创新模式。 </w:t>
      </w:r>
    </w:p>
    <w:p>
      <w:pPr>
        <w:bidi w:val="0"/>
        <w:rPr>
          <w:rFonts w:ascii="仿宋" w:hAnsi="仿宋" w:eastAsia="仿宋" w:cs="仿宋_GB2312"/>
          <w:bCs/>
          <w:color w:val="FF0000"/>
          <w:szCs w:val="32"/>
        </w:rPr>
      </w:pPr>
      <w:r>
        <w:rPr>
          <w:rFonts w:hint="eastAsia"/>
          <w:b/>
          <w:bCs/>
        </w:rPr>
        <w:t>促进文化旅游服务电子商务应用</w:t>
      </w:r>
      <w:r>
        <w:rPr>
          <w:rFonts w:hint="eastAsia"/>
        </w:rPr>
        <w:t>。充分利用新丰文化旅游资源禀赋，大力发展</w:t>
      </w:r>
      <w:r>
        <w:t>“互联网+”</w:t>
      </w:r>
      <w:r>
        <w:rPr>
          <w:rFonts w:hint="eastAsia"/>
        </w:rPr>
        <w:t>文旅电子商务。建立旅游服务信息门户网站，扩大网络销售范围。通过互联网、移动通讯等现代技术，及时收集和发布旅游信息，实现旅游服务信息资源的整合与共享。注重文旅产品开发和品牌策划，积极探索集文化旅游、农业体验、休闲娱乐于一体的全域旅游和“云上农夫”等新模式。从农地认领、农产品选择、种植管理、果实收获到食物送货上门，以及24小时农场动态直播和“偷菜”等互动方式，实现用手机</w:t>
      </w:r>
      <w:r>
        <w:t>app</w:t>
      </w:r>
      <w:r>
        <w:rPr>
          <w:rFonts w:hint="eastAsia"/>
        </w:rPr>
        <w:t>体验一系列丰富的农家乐活动。吸引更多游客假日回归田野、参观农场。</w:t>
      </w:r>
      <w:r>
        <w:t>通过</w:t>
      </w:r>
      <w:r>
        <w:rPr>
          <w:rFonts w:hint="eastAsia"/>
        </w:rPr>
        <w:t>加强线上营销推广和线下实体体验，实现互联网</w:t>
      </w:r>
      <w:r>
        <w:t>+</w:t>
      </w:r>
      <w:r>
        <w:rPr>
          <w:rFonts w:hint="eastAsia"/>
        </w:rPr>
        <w:t>实体经济</w:t>
      </w:r>
      <w:r>
        <w:rPr>
          <w:rFonts w:hint="eastAsia" w:ascii="仿宋" w:hAnsi="仿宋" w:eastAsia="仿宋" w:cs="仿宋_GB2312"/>
          <w:bCs/>
          <w:color w:val="000000" w:themeColor="text1"/>
          <w:szCs w:val="32"/>
          <w14:textFill>
            <w14:solidFill>
              <w14:schemeClr w14:val="tx1"/>
            </w14:solidFill>
          </w14:textFill>
        </w:rPr>
        <w:t>的互动发展。</w:t>
      </w:r>
    </w:p>
    <w:p>
      <w:pPr>
        <w:numPr>
          <w:ilvl w:val="0"/>
          <w:numId w:val="5"/>
        </w:numPr>
        <w:adjustRightInd w:val="0"/>
        <w:snapToGrid/>
        <w:spacing w:line="240" w:lineRule="auto"/>
        <w:outlineLvl w:val="1"/>
        <w:rPr>
          <w:rFonts w:ascii="楷体_GB2312" w:eastAsia="楷体_GB2312"/>
          <w:b/>
          <w:bCs/>
          <w:color w:val="000000"/>
          <w:szCs w:val="32"/>
        </w:rPr>
      </w:pPr>
      <w:bookmarkStart w:id="37" w:name="OLE_LINK83"/>
      <w:bookmarkStart w:id="38" w:name="OLE_LINK81"/>
      <w:bookmarkStart w:id="39" w:name="_Toc18542"/>
      <w:r>
        <w:rPr>
          <w:rFonts w:ascii="楷体_GB2312" w:eastAsia="楷体_GB2312"/>
          <w:b/>
          <w:bCs/>
          <w:color w:val="000000"/>
          <w:szCs w:val="32"/>
        </w:rPr>
        <w:t>强化</w:t>
      </w:r>
      <w:r>
        <w:rPr>
          <w:rFonts w:hint="eastAsia" w:ascii="楷体_GB2312" w:eastAsia="楷体_GB2312"/>
          <w:b/>
          <w:bCs/>
          <w:color w:val="000000"/>
          <w:szCs w:val="32"/>
        </w:rPr>
        <w:t>要素支撑</w:t>
      </w:r>
      <w:bookmarkEnd w:id="37"/>
      <w:bookmarkEnd w:id="38"/>
      <w:r>
        <w:rPr>
          <w:rFonts w:ascii="楷体_GB2312" w:eastAsia="楷体_GB2312"/>
          <w:b/>
          <w:bCs/>
          <w:color w:val="000000"/>
          <w:szCs w:val="32"/>
        </w:rPr>
        <w:t>，</w:t>
      </w:r>
      <w:r>
        <w:rPr>
          <w:rFonts w:hint="eastAsia" w:ascii="楷体_GB2312" w:eastAsia="楷体_GB2312"/>
          <w:b/>
          <w:bCs/>
          <w:color w:val="000000"/>
          <w:szCs w:val="32"/>
        </w:rPr>
        <w:t>升级配套体系</w:t>
      </w:r>
      <w:bookmarkEnd w:id="39"/>
    </w:p>
    <w:p>
      <w:pPr>
        <w:bidi w:val="0"/>
      </w:pPr>
      <w:r>
        <w:rPr>
          <w:rFonts w:hint="eastAsia"/>
          <w:b/>
          <w:bCs/>
        </w:rPr>
        <w:t>完善投融资环境。</w:t>
      </w:r>
      <w:r>
        <w:rPr>
          <w:rFonts w:hint="eastAsia"/>
        </w:rPr>
        <w:t>引导银行</w:t>
      </w:r>
      <w:r>
        <w:t>、信用社</w:t>
      </w:r>
      <w:r>
        <w:rPr>
          <w:rFonts w:hint="eastAsia"/>
        </w:rPr>
        <w:t>等金融机构积极开展产品和服务创新，扩大电子商务企业贷款抵质押品范围，创新融资担保模式，拓宽电子商务企业融资渠道。支持互联网金融机构探索建立面向中小微企业的线上线下多层次投融资服务体系，在融资规模、周期、成本等方面提供更具针对性和灵活性的产品和服务。推动P2P、众筹融资等金融信用中介服务平台的规范发展，严控风险，拓宽金融服务体系。鼓励</w:t>
      </w:r>
      <w:r>
        <w:t>社会资本成立电子商务专项发展基金，探索政府股权投资或者政府和社会资本合作（PPP）模式</w:t>
      </w:r>
      <w:r>
        <w:rPr>
          <w:rFonts w:hint="eastAsia"/>
        </w:rPr>
        <w:t>。</w:t>
      </w:r>
    </w:p>
    <w:p>
      <w:pPr>
        <w:bidi w:val="0"/>
      </w:pPr>
      <w:r>
        <w:rPr>
          <w:b/>
          <w:bCs/>
        </w:rPr>
        <w:t>加快人才库</w:t>
      </w:r>
      <w:r>
        <w:rPr>
          <w:rFonts w:hint="eastAsia"/>
          <w:b/>
          <w:bCs/>
        </w:rPr>
        <w:t>建设。</w:t>
      </w:r>
      <w:r>
        <w:t>针对专业人才少、招聘难的问题，以新丰县电子商务行业协会、新丰县青年企业家协会等平台为依托，建立电商物流人才库，健全人力资源共享机制，盘活人才资源，实现人尽其才、才尽其用</w:t>
      </w:r>
      <w:r>
        <w:rPr>
          <w:rFonts w:hint="eastAsia"/>
        </w:rPr>
        <w:t>。</w:t>
      </w:r>
      <w:r>
        <w:t>多渠道收集人才资源</w:t>
      </w:r>
      <w:r>
        <w:rPr>
          <w:rFonts w:hint="eastAsia"/>
        </w:rPr>
        <w:t>信息</w:t>
      </w:r>
      <w:r>
        <w:t>，制定明确的入库标准</w:t>
      </w:r>
      <w:r>
        <w:rPr>
          <w:rFonts w:hint="eastAsia"/>
        </w:rPr>
        <w:t>；</w:t>
      </w:r>
      <w:r>
        <w:t>简历标准化录入</w:t>
      </w:r>
      <w:r>
        <w:rPr>
          <w:rFonts w:hint="eastAsia"/>
        </w:rPr>
        <w:t>及存档</w:t>
      </w:r>
      <w:r>
        <w:t>，便于通过关键词定位目标人选</w:t>
      </w:r>
      <w:r>
        <w:rPr>
          <w:rFonts w:hint="eastAsia"/>
        </w:rPr>
        <w:t>；通过</w:t>
      </w:r>
      <w:r>
        <w:t>定期</w:t>
      </w:r>
      <w:r>
        <w:rPr>
          <w:rFonts w:hint="eastAsia"/>
        </w:rPr>
        <w:t>的数据</w:t>
      </w:r>
      <w:r>
        <w:t>维护和更新，有效</w:t>
      </w:r>
      <w:r>
        <w:rPr>
          <w:rFonts w:hint="eastAsia"/>
        </w:rPr>
        <w:t>发掘</w:t>
      </w:r>
      <w:r>
        <w:t>潜在的人才资源。借助大数据分析</w:t>
      </w:r>
      <w:r>
        <w:rPr>
          <w:rFonts w:hint="eastAsia"/>
        </w:rPr>
        <w:t>，</w:t>
      </w:r>
      <w:r>
        <w:t>优化招聘流程，让企业与人才对接更精准，减少信息的不对称，帮助双方降低搜寻和匹配成本。</w:t>
      </w:r>
    </w:p>
    <w:p>
      <w:pPr>
        <w:numPr>
          <w:ilvl w:val="0"/>
          <w:numId w:val="5"/>
        </w:numPr>
        <w:adjustRightInd w:val="0"/>
        <w:snapToGrid/>
        <w:spacing w:line="240" w:lineRule="auto"/>
        <w:outlineLvl w:val="1"/>
        <w:rPr>
          <w:rFonts w:ascii="楷体_GB2312" w:eastAsia="楷体_GB2312"/>
          <w:b/>
          <w:bCs/>
          <w:color w:val="000000"/>
          <w:szCs w:val="32"/>
        </w:rPr>
      </w:pPr>
      <w:bookmarkStart w:id="40" w:name="OLE_LINK82"/>
      <w:bookmarkStart w:id="41" w:name="_Toc5566"/>
      <w:r>
        <w:rPr>
          <w:rFonts w:hint="eastAsia" w:ascii="楷体_GB2312" w:eastAsia="楷体_GB2312"/>
          <w:b/>
          <w:bCs/>
          <w:color w:val="000000"/>
          <w:szCs w:val="32"/>
        </w:rPr>
        <w:t>加快园区建设，促进产业集聚</w:t>
      </w:r>
      <w:bookmarkEnd w:id="40"/>
      <w:bookmarkEnd w:id="41"/>
    </w:p>
    <w:p>
      <w:pPr>
        <w:bidi w:val="0"/>
      </w:pPr>
      <w:r>
        <w:rPr>
          <w:rFonts w:hint="eastAsia"/>
          <w:b/>
          <w:bCs/>
        </w:rPr>
        <w:t>打造</w:t>
      </w:r>
      <w:r>
        <w:rPr>
          <w:b/>
          <w:bCs/>
        </w:rPr>
        <w:t>省级</w:t>
      </w:r>
      <w:r>
        <w:rPr>
          <w:rFonts w:hint="eastAsia"/>
          <w:b/>
          <w:bCs/>
        </w:rPr>
        <w:t>电子商务示范基地。</w:t>
      </w:r>
      <w:r>
        <w:rPr>
          <w:rFonts w:hint="eastAsia"/>
        </w:rPr>
        <w:t>联合大型快递物流公司、电子商务平台，共同将新的县级电商运营中心塑造成省级电子商务示范基地</w:t>
      </w:r>
      <w:r>
        <w:t>，</w:t>
      </w:r>
      <w:r>
        <w:rPr>
          <w:rFonts w:hint="eastAsia"/>
        </w:rPr>
        <w:t>形成基础设施完善、产业链清晰、服务体系健全、示范效应明显的电子商务产业集聚区。整合现有工业、商业、仓储运输等物流资源，提高物流配送的</w:t>
      </w:r>
      <w:r>
        <w:t>自动</w:t>
      </w:r>
      <w:r>
        <w:rPr>
          <w:rFonts w:hint="eastAsia"/>
        </w:rPr>
        <w:t>化、</w:t>
      </w:r>
      <w:r>
        <w:t>信息</w:t>
      </w:r>
      <w:r>
        <w:rPr>
          <w:rFonts w:hint="eastAsia"/>
        </w:rPr>
        <w:t>化和</w:t>
      </w:r>
      <w:r>
        <w:t>节能</w:t>
      </w:r>
      <w:r>
        <w:rPr>
          <w:rFonts w:hint="eastAsia"/>
        </w:rPr>
        <w:t>化水平</w:t>
      </w:r>
      <w:r>
        <w:t>。</w:t>
      </w:r>
      <w:r>
        <w:rPr>
          <w:rFonts w:hint="eastAsia"/>
        </w:rPr>
        <w:t>在园区内建设</w:t>
      </w:r>
      <w:r>
        <w:t>现代</w:t>
      </w:r>
      <w:r>
        <w:rPr>
          <w:rFonts w:hint="eastAsia"/>
        </w:rPr>
        <w:t>化分拨场所，提升园区邮件快件装卸、分拣、传输</w:t>
      </w:r>
      <w:r>
        <w:t>的</w:t>
      </w:r>
      <w:r>
        <w:rPr>
          <w:rFonts w:hint="eastAsia"/>
        </w:rPr>
        <w:t>机械化水平</w:t>
      </w:r>
      <w:r>
        <w:t>；升级物流信息采集与处理</w:t>
      </w:r>
      <w:r>
        <w:rPr>
          <w:rFonts w:hint="eastAsia"/>
        </w:rPr>
        <w:t>设施</w:t>
      </w:r>
      <w:r>
        <w:t>，将无线</w:t>
      </w:r>
      <w:r>
        <w:rPr>
          <w:rFonts w:hint="eastAsia"/>
        </w:rPr>
        <w:t>互联网</w:t>
      </w:r>
      <w:r>
        <w:t>技术</w:t>
      </w:r>
      <w:r>
        <w:rPr>
          <w:rFonts w:hint="eastAsia"/>
        </w:rPr>
        <w:t>、</w:t>
      </w:r>
      <w:r>
        <w:t>卫星定位技术</w:t>
      </w:r>
      <w:r>
        <w:rPr>
          <w:rFonts w:hint="eastAsia"/>
        </w:rPr>
        <w:t>（</w:t>
      </w:r>
      <w:r>
        <w:t>GPS</w:t>
      </w:r>
      <w:r>
        <w:rPr>
          <w:rFonts w:hint="eastAsia"/>
        </w:rPr>
        <w:t>）、</w:t>
      </w:r>
      <w:r>
        <w:t>地理信息系统</w:t>
      </w:r>
      <w:r>
        <w:rPr>
          <w:rFonts w:hint="eastAsia"/>
        </w:rPr>
        <w:t>（</w:t>
      </w:r>
      <w:r>
        <w:t>GIS</w:t>
      </w:r>
      <w:r>
        <w:rPr>
          <w:rFonts w:hint="eastAsia"/>
        </w:rPr>
        <w:t>）、</w:t>
      </w:r>
      <w:r>
        <w:t>射频标识技术</w:t>
      </w:r>
      <w:r>
        <w:rPr>
          <w:rFonts w:hint="eastAsia"/>
        </w:rPr>
        <w:t>（</w:t>
      </w:r>
      <w:r>
        <w:t>RF</w:t>
      </w:r>
      <w:r>
        <w:rPr>
          <w:rFonts w:hint="eastAsia"/>
        </w:rPr>
        <w:t>）</w:t>
      </w:r>
      <w:r>
        <w:t>等高新技术与物流设备有效结合，准确掌控货物接收、储存、提取、补货等信息；推广应用节能环保的</w:t>
      </w:r>
      <w:r>
        <w:rPr>
          <w:rFonts w:hint="eastAsia"/>
        </w:rPr>
        <w:t>可</w:t>
      </w:r>
      <w:r>
        <w:t>循环中转箱</w:t>
      </w:r>
      <w:r>
        <w:rPr>
          <w:rFonts w:hint="eastAsia"/>
        </w:rPr>
        <w:t>和</w:t>
      </w:r>
      <w:r>
        <w:t>快递盒、环保袋、环保填充物等物料，推行减量化、复用化的物流包装产品</w:t>
      </w:r>
      <w:r>
        <w:rPr>
          <w:rFonts w:hint="eastAsia"/>
        </w:rPr>
        <w:t>。加快电商经营主体、品牌</w:t>
      </w:r>
      <w:r>
        <w:t>仓储物流</w:t>
      </w:r>
      <w:r>
        <w:rPr>
          <w:rFonts w:hint="eastAsia"/>
        </w:rPr>
        <w:t>公司集聚，加速引进国内外知名电商平台，培育现代电子商务物流产业集群。</w:t>
      </w:r>
    </w:p>
    <w:p>
      <w:pPr>
        <w:bidi w:val="0"/>
        <w:rPr>
          <w:rFonts w:ascii="楷体" w:hAnsi="楷体" w:eastAsia="楷体" w:cstheme="majorBidi"/>
          <w:b/>
          <w:szCs w:val="32"/>
        </w:rPr>
      </w:pPr>
      <w:r>
        <w:rPr>
          <w:rFonts w:hint="eastAsia"/>
          <w:b/>
          <w:bCs/>
        </w:rPr>
        <w:t>建设</w:t>
      </w:r>
      <w:r>
        <w:rPr>
          <w:b/>
          <w:bCs/>
        </w:rPr>
        <w:t>新兴业态</w:t>
      </w:r>
      <w:r>
        <w:rPr>
          <w:rFonts w:hint="eastAsia"/>
          <w:b/>
          <w:bCs/>
        </w:rPr>
        <w:t>直播电商</w:t>
      </w:r>
      <w:r>
        <w:rPr>
          <w:b/>
          <w:bCs/>
        </w:rPr>
        <w:t>中心</w:t>
      </w:r>
      <w:r>
        <w:rPr>
          <w:rFonts w:hint="eastAsia"/>
          <w:b/>
          <w:bCs/>
        </w:rPr>
        <w:t>。</w:t>
      </w:r>
      <w:r>
        <w:t>紧跟直播营销和内容营销的高速发展步伐，</w:t>
      </w:r>
      <w:r>
        <w:rPr>
          <w:rFonts w:hint="eastAsia"/>
        </w:rPr>
        <w:t>鼓励直播电商、社交电商、社群电商等新业态聚集发展，着力培育和</w:t>
      </w:r>
      <w:r>
        <w:t>吸纳</w:t>
      </w:r>
      <w:r>
        <w:rPr>
          <w:rFonts w:hint="eastAsia"/>
        </w:rPr>
        <w:t>优质的直播电商平台和直播电商服务机构，孵化和培训网红品牌和带货达人</w:t>
      </w:r>
      <w:r>
        <w:t>。</w:t>
      </w:r>
      <w:r>
        <w:rPr>
          <w:rFonts w:hint="eastAsia" w:ascii="仿宋" w:hAnsi="仿宋" w:eastAsia="仿宋"/>
          <w:bCs/>
          <w:szCs w:val="32"/>
        </w:rPr>
        <w:t>打造直播电商产业集群，</w:t>
      </w:r>
      <w:r>
        <w:rPr>
          <w:rFonts w:ascii="仿宋" w:hAnsi="仿宋" w:eastAsia="仿宋"/>
          <w:bCs/>
          <w:szCs w:val="32"/>
        </w:rPr>
        <w:t>宣传</w:t>
      </w:r>
      <w:r>
        <w:rPr>
          <w:rFonts w:hint="eastAsia" w:ascii="仿宋" w:hAnsi="仿宋" w:eastAsia="仿宋"/>
          <w:bCs/>
          <w:szCs w:val="32"/>
        </w:rPr>
        <w:t>销售</w:t>
      </w:r>
      <w:r>
        <w:rPr>
          <w:rFonts w:ascii="仿宋" w:hAnsi="仿宋" w:eastAsia="仿宋"/>
          <w:bCs/>
          <w:szCs w:val="32"/>
        </w:rPr>
        <w:t>农</w:t>
      </w:r>
      <w:r>
        <w:rPr>
          <w:rFonts w:hint="eastAsia" w:ascii="仿宋" w:hAnsi="仿宋" w:eastAsia="仿宋"/>
          <w:bCs/>
          <w:szCs w:val="32"/>
        </w:rPr>
        <w:t>特产品、农家小吃、旅游资源等</w:t>
      </w:r>
      <w:r>
        <w:rPr>
          <w:rFonts w:ascii="仿宋" w:hAnsi="仿宋" w:eastAsia="仿宋"/>
          <w:bCs/>
          <w:szCs w:val="32"/>
        </w:rPr>
        <w:t>具有新丰特色的产品，</w:t>
      </w:r>
      <w:r>
        <w:rPr>
          <w:rFonts w:hint="eastAsia" w:ascii="仿宋" w:hAnsi="仿宋" w:eastAsia="仿宋"/>
          <w:bCs/>
          <w:szCs w:val="32"/>
        </w:rPr>
        <w:t>推动电商</w:t>
      </w:r>
      <w:r>
        <w:rPr>
          <w:rFonts w:ascii="仿宋" w:hAnsi="仿宋" w:eastAsia="仿宋"/>
          <w:bCs/>
          <w:szCs w:val="32"/>
        </w:rPr>
        <w:t>营销新模式</w:t>
      </w:r>
      <w:r>
        <w:rPr>
          <w:rFonts w:hint="eastAsia" w:ascii="仿宋" w:hAnsi="仿宋" w:eastAsia="仿宋"/>
          <w:bCs/>
          <w:szCs w:val="32"/>
        </w:rPr>
        <w:t>在商贸领域深化应用。</w:t>
      </w:r>
    </w:p>
    <w:p>
      <w:pPr>
        <w:numPr>
          <w:ilvl w:val="0"/>
          <w:numId w:val="5"/>
        </w:numPr>
        <w:adjustRightInd w:val="0"/>
        <w:snapToGrid/>
        <w:spacing w:line="240" w:lineRule="auto"/>
        <w:outlineLvl w:val="1"/>
        <w:rPr>
          <w:rFonts w:ascii="楷体_GB2312" w:eastAsia="楷体_GB2312"/>
          <w:b/>
          <w:bCs/>
          <w:color w:val="000000"/>
          <w:szCs w:val="32"/>
        </w:rPr>
      </w:pPr>
      <w:bookmarkStart w:id="42" w:name="_Toc23089"/>
      <w:r>
        <w:rPr>
          <w:rFonts w:hint="eastAsia" w:ascii="楷体_GB2312" w:eastAsia="楷体_GB2312"/>
          <w:b/>
          <w:bCs/>
          <w:color w:val="000000"/>
          <w:szCs w:val="32"/>
        </w:rPr>
        <w:t>培育龙头企业，</w:t>
      </w:r>
      <w:r>
        <w:rPr>
          <w:rFonts w:ascii="楷体_GB2312" w:eastAsia="楷体_GB2312"/>
          <w:b/>
          <w:bCs/>
          <w:color w:val="000000"/>
          <w:szCs w:val="32"/>
        </w:rPr>
        <w:t>推动强链补链</w:t>
      </w:r>
      <w:bookmarkEnd w:id="42"/>
    </w:p>
    <w:p>
      <w:pPr>
        <w:bidi w:val="0"/>
      </w:pPr>
      <w:r>
        <w:rPr>
          <w:rFonts w:hint="eastAsia"/>
          <w:b/>
          <w:bCs/>
        </w:rPr>
        <w:t>培育农产品品牌。</w:t>
      </w:r>
      <w:r>
        <w:rPr>
          <w:rFonts w:hint="default"/>
          <w:b w:val="0"/>
          <w:bCs w:val="0"/>
        </w:rPr>
        <w:t>依托新丰县优质农林资源，</w:t>
      </w:r>
      <w:r>
        <w:rPr>
          <w:rFonts w:hint="eastAsia"/>
        </w:rPr>
        <w:t>以生产、初加工、精深加工及副产物综合利用等环节为切入点，培育条件成熟、基础扎实的产业化龙头企业，</w:t>
      </w:r>
      <w:r>
        <w:rPr>
          <w:rFonts w:hint="default"/>
        </w:rPr>
        <w:t>塑造</w:t>
      </w:r>
      <w:r>
        <w:rPr>
          <w:rFonts w:hint="eastAsia"/>
        </w:rPr>
        <w:t>3</w:t>
      </w:r>
      <w:r>
        <w:rPr>
          <w:rFonts w:hint="default"/>
        </w:rPr>
        <w:t>至</w:t>
      </w:r>
      <w:r>
        <w:rPr>
          <w:rFonts w:hint="eastAsia"/>
        </w:rPr>
        <w:t>5个</w:t>
      </w:r>
      <w:r>
        <w:rPr>
          <w:rFonts w:hint="default"/>
        </w:rPr>
        <w:t>高山茶叶、佛手瓜和美少女西瓜等特色农产品</w:t>
      </w:r>
      <w:r>
        <w:rPr>
          <w:rFonts w:hint="eastAsia"/>
        </w:rPr>
        <w:t>品牌。</w:t>
      </w:r>
      <w:r>
        <w:rPr>
          <w:rFonts w:hint="default"/>
        </w:rPr>
        <w:t>建设具备专业流通市场的韶关市新丰县茶叶产业园，</w:t>
      </w:r>
      <w:r>
        <w:rPr>
          <w:rFonts w:hint="eastAsia"/>
        </w:rPr>
        <w:t>打造“农业物联网+质量安全可追溯+电商平台”农村信息化产业模式。在全县生产规模较大的农产品生产单位推行应用二维码，实施农产品溯源，形成标准化生产以及品牌化发展；引导农业生产企业设施设备的更新换代，配备标准化的清洗、烘干、分级、包装等商品化处理设施；提升农产品初加工和产销对接能力，提高农产品附加值和市场竞争力。</w:t>
      </w:r>
    </w:p>
    <w:p>
      <w:pPr>
        <w:bidi w:val="0"/>
        <w:rPr>
          <w:rFonts w:ascii="仿宋" w:hAnsi="仿宋" w:eastAsia="仿宋"/>
          <w:bCs/>
          <w:szCs w:val="32"/>
        </w:rPr>
      </w:pPr>
      <w:r>
        <w:rPr>
          <w:rFonts w:hint="eastAsia"/>
          <w:b/>
          <w:bCs/>
        </w:rPr>
        <w:t>完善</w:t>
      </w:r>
      <w:r>
        <w:rPr>
          <w:rFonts w:hint="default"/>
          <w:b/>
          <w:bCs/>
        </w:rPr>
        <w:t>优化</w:t>
      </w:r>
      <w:r>
        <w:rPr>
          <w:rFonts w:hint="eastAsia"/>
          <w:b/>
          <w:bCs/>
        </w:rPr>
        <w:t>供应链。</w:t>
      </w:r>
      <w:r>
        <w:rPr>
          <w:rFonts w:hint="eastAsia"/>
        </w:rPr>
        <w:t>大力推进龙头电商</w:t>
      </w:r>
      <w:r>
        <w:rPr>
          <w:rFonts w:hint="default"/>
        </w:rPr>
        <w:t>企业</w:t>
      </w:r>
      <w:r>
        <w:rPr>
          <w:rFonts w:hint="eastAsia"/>
        </w:rPr>
        <w:t>——每日鲜公司</w:t>
      </w:r>
      <w:r>
        <w:rPr>
          <w:rFonts w:hint="default"/>
        </w:rPr>
        <w:t>的</w:t>
      </w:r>
      <w:r>
        <w:rPr>
          <w:rFonts w:hint="eastAsia"/>
        </w:rPr>
        <w:t>冷链物流分拣中心</w:t>
      </w:r>
      <w:r>
        <w:rPr>
          <w:rFonts w:hint="default"/>
        </w:rPr>
        <w:t>建设项目</w:t>
      </w:r>
      <w:r>
        <w:rPr>
          <w:rFonts w:hint="eastAsia"/>
        </w:rPr>
        <w:t>，打造全省农产品仓储保鲜冷链物流设施示范基地。带动新丰县农业经营主体，根据产品</w:t>
      </w:r>
      <w:r>
        <w:rPr>
          <w:rFonts w:hint="default"/>
        </w:rPr>
        <w:t>仓储保鲜需求</w:t>
      </w:r>
      <w:r>
        <w:rPr>
          <w:rFonts w:hint="eastAsia"/>
        </w:rPr>
        <w:t>，建设适度规模的产地型冷库、预冷库和移动预冷库以及具有冷</w:t>
      </w:r>
      <w:r>
        <w:rPr>
          <w:rFonts w:hint="eastAsia" w:ascii="仿宋" w:hAnsi="仿宋" w:eastAsia="仿宋"/>
          <w:bCs/>
          <w:szCs w:val="32"/>
        </w:rPr>
        <w:t>藏功能的产地加工集配中心等冷链设施，提升预冷和储藏保鲜能力，补齐“最先一公里”冷链物流短板，延长农产品货架期，提高错峰销售能力。整合冷链物流以及农产品生产、流通资源，提高冷链物流规模化、集约化、组织化和网络化水平。</w:t>
      </w:r>
    </w:p>
    <w:p>
      <w:pPr>
        <w:numPr>
          <w:ilvl w:val="0"/>
          <w:numId w:val="1"/>
        </w:numPr>
        <w:adjustRightInd w:val="0"/>
        <w:snapToGrid/>
        <w:spacing w:line="324" w:lineRule="auto"/>
        <w:ind w:firstLine="630" w:firstLineChars="200"/>
        <w:outlineLvl w:val="0"/>
        <w:rPr>
          <w:rFonts w:ascii="黑体" w:hAnsi="黑体" w:eastAsia="黑体"/>
          <w:b/>
          <w:color w:val="000000"/>
          <w:szCs w:val="32"/>
        </w:rPr>
      </w:pPr>
      <w:bookmarkStart w:id="43" w:name="_Toc19424"/>
      <w:r>
        <w:rPr>
          <w:rFonts w:hint="eastAsia" w:ascii="黑体" w:hAnsi="黑体" w:eastAsia="黑体"/>
          <w:b/>
          <w:color w:val="000000"/>
          <w:szCs w:val="32"/>
        </w:rPr>
        <w:t>保障措施</w:t>
      </w:r>
      <w:bookmarkEnd w:id="43"/>
    </w:p>
    <w:p>
      <w:pPr>
        <w:numPr>
          <w:ilvl w:val="0"/>
          <w:numId w:val="6"/>
        </w:numPr>
        <w:adjustRightInd w:val="0"/>
        <w:snapToGrid/>
        <w:spacing w:line="240" w:lineRule="auto"/>
        <w:outlineLvl w:val="1"/>
        <w:rPr>
          <w:rFonts w:ascii="楷体_GB2312" w:eastAsia="楷体_GB2312"/>
          <w:b/>
          <w:bCs/>
          <w:color w:val="000000"/>
          <w:szCs w:val="32"/>
        </w:rPr>
      </w:pPr>
      <w:bookmarkStart w:id="44" w:name="_Toc11569"/>
      <w:r>
        <w:rPr>
          <w:rFonts w:ascii="楷体_GB2312" w:eastAsia="楷体_GB2312"/>
          <w:b/>
          <w:bCs/>
          <w:color w:val="000000"/>
          <w:szCs w:val="32"/>
        </w:rPr>
        <w:t>规范</w:t>
      </w:r>
      <w:r>
        <w:rPr>
          <w:rFonts w:hint="eastAsia" w:ascii="楷体_GB2312" w:eastAsia="楷体_GB2312"/>
          <w:b/>
          <w:bCs/>
          <w:color w:val="000000"/>
          <w:szCs w:val="32"/>
        </w:rPr>
        <w:t>组织领导</w:t>
      </w:r>
      <w:bookmarkEnd w:id="44"/>
    </w:p>
    <w:p>
      <w:pPr>
        <w:bidi w:val="0"/>
      </w:pPr>
      <w:r>
        <w:rPr>
          <w:rFonts w:hint="eastAsia"/>
        </w:rPr>
        <w:t>调整充实新丰县电子商务工作领导小组，负责统筹指导全县电子商务发展</w:t>
      </w:r>
      <w:r>
        <w:t>规划</w:t>
      </w:r>
      <w:r>
        <w:rPr>
          <w:rFonts w:hint="eastAsia"/>
        </w:rPr>
        <w:t>，研究制定相关促进政策，</w:t>
      </w:r>
      <w:r>
        <w:t>加强各相关单位部门之间的密切配合，</w:t>
      </w:r>
      <w:r>
        <w:rPr>
          <w:rFonts w:hint="eastAsia"/>
        </w:rPr>
        <w:t>协调解决工作中的重大问题。</w:t>
      </w:r>
      <w:r>
        <w:t>领导小组下设办公室</w:t>
      </w:r>
      <w:r>
        <w:rPr>
          <w:rFonts w:hint="eastAsia"/>
        </w:rPr>
        <w:t>，</w:t>
      </w:r>
      <w:r>
        <w:t>配备专职工作人员和专项办公经费，</w:t>
      </w:r>
      <w:r>
        <w:rPr>
          <w:rFonts w:hint="eastAsia"/>
        </w:rPr>
        <w:t>建立</w:t>
      </w:r>
      <w:r>
        <w:t>日常化</w:t>
      </w:r>
      <w:r>
        <w:rPr>
          <w:rFonts w:hint="eastAsia"/>
        </w:rPr>
        <w:t>工作机制，</w:t>
      </w:r>
      <w:r>
        <w:t>提高</w:t>
      </w:r>
      <w:r>
        <w:rPr>
          <w:rFonts w:hint="eastAsia"/>
        </w:rPr>
        <w:t>对电子商务产业发展的</w:t>
      </w:r>
      <w:r>
        <w:t>重视程度。</w:t>
      </w:r>
    </w:p>
    <w:p>
      <w:pPr>
        <w:numPr>
          <w:ilvl w:val="0"/>
          <w:numId w:val="6"/>
        </w:numPr>
        <w:adjustRightInd w:val="0"/>
        <w:snapToGrid/>
        <w:spacing w:line="240" w:lineRule="auto"/>
        <w:outlineLvl w:val="1"/>
        <w:rPr>
          <w:rFonts w:ascii="楷体_GB2312" w:eastAsia="楷体_GB2312"/>
          <w:b/>
          <w:bCs/>
          <w:color w:val="000000"/>
          <w:szCs w:val="32"/>
        </w:rPr>
      </w:pPr>
      <w:bookmarkStart w:id="45" w:name="_Toc19412"/>
      <w:r>
        <w:rPr>
          <w:rFonts w:hint="eastAsia" w:ascii="楷体_GB2312" w:eastAsia="楷体_GB2312"/>
          <w:b/>
          <w:bCs/>
          <w:color w:val="000000"/>
          <w:szCs w:val="32"/>
        </w:rPr>
        <w:t>加大政策扶持</w:t>
      </w:r>
      <w:bookmarkEnd w:id="45"/>
    </w:p>
    <w:p>
      <w:pPr>
        <w:bidi w:val="0"/>
      </w:pPr>
      <w:r>
        <w:t>联合各相关政府部门，</w:t>
      </w:r>
      <w:r>
        <w:rPr>
          <w:rFonts w:hint="eastAsia"/>
        </w:rPr>
        <w:t>制定出台</w:t>
      </w:r>
      <w:r>
        <w:t>新丰</w:t>
      </w:r>
      <w:r>
        <w:rPr>
          <w:rFonts w:hint="eastAsia"/>
        </w:rPr>
        <w:t>县</w:t>
      </w:r>
      <w:r>
        <w:t>发展</w:t>
      </w:r>
      <w:r>
        <w:rPr>
          <w:rFonts w:hint="eastAsia"/>
        </w:rPr>
        <w:t>电子商务</w:t>
      </w:r>
      <w:r>
        <w:t>、物流及金融</w:t>
      </w:r>
      <w:r>
        <w:rPr>
          <w:rFonts w:hint="eastAsia"/>
        </w:rPr>
        <w:t>的</w:t>
      </w:r>
      <w:r>
        <w:t>具体指导</w:t>
      </w:r>
      <w:r>
        <w:rPr>
          <w:rFonts w:hint="eastAsia"/>
        </w:rPr>
        <w:t>政策</w:t>
      </w:r>
      <w:r>
        <w:t>和奖励扶持办法，解决企业在发展过程中遇到的资金、土地、税收等瓶颈问题</w:t>
      </w:r>
      <w:r>
        <w:rPr>
          <w:rFonts w:hint="eastAsia"/>
        </w:rPr>
        <w:t>。鼓励企业研究国家、省级、市级扶持</w:t>
      </w:r>
      <w:r>
        <w:t>产业</w:t>
      </w:r>
      <w:r>
        <w:rPr>
          <w:rFonts w:hint="eastAsia"/>
        </w:rPr>
        <w:t>发展的各类政策，支持企业申报市级以上电子商务</w:t>
      </w:r>
      <w:r>
        <w:t>产业引导基金</w:t>
      </w:r>
      <w:r>
        <w:rPr>
          <w:rFonts w:hint="eastAsia"/>
        </w:rPr>
        <w:t>，</w:t>
      </w:r>
      <w:r>
        <w:t>推进中小企业创业创新服务</w:t>
      </w:r>
      <w:r>
        <w:rPr>
          <w:rFonts w:hint="eastAsia"/>
        </w:rPr>
        <w:t>。</w:t>
      </w:r>
    </w:p>
    <w:p>
      <w:pPr>
        <w:numPr>
          <w:ilvl w:val="0"/>
          <w:numId w:val="6"/>
        </w:numPr>
        <w:adjustRightInd w:val="0"/>
        <w:snapToGrid/>
        <w:spacing w:line="240" w:lineRule="auto"/>
        <w:outlineLvl w:val="1"/>
        <w:rPr>
          <w:rFonts w:ascii="楷体_GB2312" w:eastAsia="楷体_GB2312"/>
          <w:b/>
          <w:bCs/>
          <w:color w:val="000000"/>
          <w:szCs w:val="32"/>
        </w:rPr>
      </w:pPr>
      <w:bookmarkStart w:id="46" w:name="_Toc14102"/>
      <w:r>
        <w:rPr>
          <w:rFonts w:hint="eastAsia" w:ascii="楷体_GB2312" w:eastAsia="楷体_GB2312"/>
          <w:b/>
          <w:bCs/>
          <w:color w:val="000000"/>
          <w:szCs w:val="32"/>
        </w:rPr>
        <w:t>强化市场监管</w:t>
      </w:r>
      <w:bookmarkEnd w:id="46"/>
    </w:p>
    <w:p>
      <w:pPr>
        <w:bidi w:val="0"/>
      </w:pPr>
      <w:r>
        <w:rPr>
          <w:rFonts w:hint="eastAsia"/>
        </w:rPr>
        <w:t>依托网络交易监管平台，加大网上巡查力度，通过</w:t>
      </w:r>
      <w:r>
        <w:t>建立数据库对网络市场主体标签标注、</w:t>
      </w:r>
      <w:r>
        <w:rPr>
          <w:rFonts w:hint="eastAsia"/>
        </w:rPr>
        <w:t>定向搜索、在线监测</w:t>
      </w:r>
      <w:r>
        <w:t>。</w:t>
      </w:r>
      <w:r>
        <w:rPr>
          <w:rFonts w:hint="eastAsia"/>
        </w:rPr>
        <w:t>聚焦</w:t>
      </w:r>
      <w:r>
        <w:t>电商领域消费者投诉重点</w:t>
      </w:r>
      <w:r>
        <w:rPr>
          <w:rFonts w:hint="eastAsia"/>
        </w:rPr>
        <w:t>，完善网络商品交易消费者权益保护机制，严查销售假劣商品、虚假宣传、侵犯注册商标专用权等违法违规行为</w:t>
      </w:r>
      <w:r>
        <w:t>。通过消费者维权活动、普法宣传、企业行政约谈等形式，增强企业守法意识，营造诚实守信的营商环境。</w:t>
      </w:r>
    </w:p>
    <w:p>
      <w:pPr>
        <w:numPr>
          <w:ilvl w:val="0"/>
          <w:numId w:val="6"/>
        </w:numPr>
        <w:adjustRightInd w:val="0"/>
        <w:snapToGrid/>
        <w:spacing w:line="240" w:lineRule="auto"/>
        <w:outlineLvl w:val="1"/>
        <w:rPr>
          <w:rFonts w:ascii="楷体_GB2312" w:eastAsia="楷体_GB2312"/>
          <w:b/>
          <w:bCs/>
          <w:color w:val="000000"/>
          <w:szCs w:val="32"/>
        </w:rPr>
      </w:pPr>
      <w:bookmarkStart w:id="47" w:name="_Toc13054"/>
      <w:r>
        <w:rPr>
          <w:rFonts w:ascii="楷体_GB2312" w:eastAsia="楷体_GB2312"/>
          <w:b/>
          <w:bCs/>
          <w:color w:val="000000"/>
          <w:szCs w:val="32"/>
        </w:rPr>
        <w:t>积极</w:t>
      </w:r>
      <w:r>
        <w:rPr>
          <w:rFonts w:hint="eastAsia" w:ascii="楷体_GB2312" w:eastAsia="楷体_GB2312"/>
          <w:b/>
          <w:bCs/>
          <w:color w:val="000000"/>
          <w:szCs w:val="32"/>
        </w:rPr>
        <w:t>宣传推广</w:t>
      </w:r>
      <w:bookmarkEnd w:id="1"/>
      <w:bookmarkEnd w:id="2"/>
      <w:bookmarkEnd w:id="47"/>
    </w:p>
    <w:p>
      <w:pPr>
        <w:bidi w:val="0"/>
      </w:pPr>
      <w:r>
        <w:rPr>
          <w:rFonts w:hint="eastAsia"/>
        </w:rPr>
        <w:t>坚持集中宣传和日常宣传，普及宣传与专项宣传相结合，多形式、多渠道、多方位地宣传电子商务基本知识、商业模式、成功案例等内容，提高全民认知水平。</w:t>
      </w:r>
      <w:r>
        <w:t>通过宣传</w:t>
      </w:r>
      <w:r>
        <w:rPr>
          <w:rFonts w:hint="eastAsia"/>
        </w:rPr>
        <w:t>成功的电子商务应用示范企业、优秀</w:t>
      </w:r>
      <w:r>
        <w:t>平台</w:t>
      </w:r>
      <w:r>
        <w:rPr>
          <w:rFonts w:hint="eastAsia"/>
        </w:rPr>
        <w:t>网站、成功创业案例，充分发挥电商</w:t>
      </w:r>
      <w:r>
        <w:t>龙头</w:t>
      </w:r>
      <w:r>
        <w:rPr>
          <w:rFonts w:hint="eastAsia"/>
        </w:rPr>
        <w:t>企业和电商领军人才引领示范作用</w:t>
      </w:r>
      <w:r>
        <w:t>，营造</w:t>
      </w:r>
      <w:r>
        <w:rPr>
          <w:rFonts w:hint="eastAsia"/>
        </w:rPr>
        <w:t>良好的创业氛围。积极开展电子商务推广培训活动，</w:t>
      </w:r>
      <w:r>
        <w:t>以</w:t>
      </w:r>
      <w:r>
        <w:rPr>
          <w:rFonts w:hint="eastAsia"/>
        </w:rPr>
        <w:t>课堂教学与现场观摩相结合、专家理论讲解与店主现身说法相结合等多种方式，开展电子商务应用宣传、行业高峰论坛、主题沙龙、抱团营销对接会等活动</w:t>
      </w:r>
      <w:r>
        <w:t>，帮助电商创业者掌握创业技巧和相关经营管理知识。</w:t>
      </w:r>
    </w:p>
    <w:p>
      <w:pPr>
        <w:numPr>
          <w:ilvl w:val="0"/>
          <w:numId w:val="6"/>
        </w:numPr>
        <w:adjustRightInd w:val="0"/>
        <w:snapToGrid/>
        <w:spacing w:line="240" w:lineRule="auto"/>
        <w:outlineLvl w:val="1"/>
        <w:rPr>
          <w:rFonts w:ascii="楷体_GB2312" w:eastAsia="楷体_GB2312"/>
          <w:b/>
          <w:bCs/>
          <w:color w:val="000000"/>
          <w:szCs w:val="32"/>
        </w:rPr>
      </w:pPr>
      <w:bookmarkStart w:id="48" w:name="_Toc3243"/>
      <w:r>
        <w:rPr>
          <w:rFonts w:ascii="楷体_GB2312" w:eastAsia="楷体_GB2312"/>
          <w:b/>
          <w:bCs/>
          <w:color w:val="000000"/>
          <w:szCs w:val="32"/>
        </w:rPr>
        <w:t>拓展</w:t>
      </w:r>
      <w:r>
        <w:rPr>
          <w:rFonts w:hint="eastAsia" w:ascii="楷体_GB2312" w:eastAsia="楷体_GB2312"/>
          <w:b/>
          <w:bCs/>
          <w:color w:val="000000"/>
          <w:szCs w:val="32"/>
        </w:rPr>
        <w:t>资金</w:t>
      </w:r>
      <w:r>
        <w:rPr>
          <w:rFonts w:ascii="楷体_GB2312" w:eastAsia="楷体_GB2312"/>
          <w:b/>
          <w:bCs/>
          <w:color w:val="000000"/>
          <w:szCs w:val="32"/>
        </w:rPr>
        <w:t>渠道</w:t>
      </w:r>
      <w:bookmarkEnd w:id="48"/>
    </w:p>
    <w:p>
      <w:pPr>
        <w:bidi w:val="0"/>
      </w:pPr>
      <w:r>
        <w:rPr>
          <w:rFonts w:hint="eastAsia"/>
        </w:rPr>
        <w:t>县级财政设立电子商务</w:t>
      </w:r>
      <w:r>
        <w:t>产业</w:t>
      </w:r>
      <w:r>
        <w:rPr>
          <w:rFonts w:hint="eastAsia"/>
        </w:rPr>
        <w:t>专项资金，加大对电子商务发展的扶持力度。通过以奖代补、财政贴息等方式对电子商务公共服务平台或示范园区建设给予奖励扶持；对入驻电子商务园区和孵化基地的电子商务企业给予租金、物业、税收、人才培训等方面的优惠和支持</w:t>
      </w:r>
      <w:r>
        <w:t>。</w:t>
      </w:r>
      <w:r>
        <w:rPr>
          <w:rFonts w:hint="eastAsia"/>
        </w:rPr>
        <w:t>鼓励各类</w:t>
      </w:r>
      <w:r>
        <w:t>社会资本</w:t>
      </w:r>
      <w:r>
        <w:rPr>
          <w:rFonts w:hint="eastAsia"/>
        </w:rPr>
        <w:t>搭建</w:t>
      </w:r>
      <w:r>
        <w:t>引导</w:t>
      </w:r>
      <w:r>
        <w:rPr>
          <w:rFonts w:hint="eastAsia"/>
        </w:rPr>
        <w:t>基金、股权众筹基金等新型融资平台，支持各类金融机构、风险投资基金</w:t>
      </w:r>
      <w:r>
        <w:t>精准对接</w:t>
      </w:r>
      <w:r>
        <w:rPr>
          <w:rFonts w:hint="eastAsia"/>
        </w:rPr>
        <w:t>电子商务企业，建立和完善电子商务贷款风险补偿机制。</w:t>
      </w:r>
    </w:p>
    <w:p>
      <w:pPr>
        <w:numPr>
          <w:ilvl w:val="0"/>
          <w:numId w:val="6"/>
        </w:numPr>
        <w:adjustRightInd w:val="0"/>
        <w:snapToGrid/>
        <w:spacing w:line="240" w:lineRule="auto"/>
        <w:outlineLvl w:val="1"/>
        <w:rPr>
          <w:rFonts w:ascii="楷体_GB2312" w:eastAsia="楷体_GB2312"/>
          <w:b/>
          <w:bCs/>
          <w:color w:val="000000"/>
          <w:szCs w:val="32"/>
        </w:rPr>
      </w:pPr>
      <w:bookmarkStart w:id="49" w:name="_Toc17448"/>
      <w:r>
        <w:rPr>
          <w:rFonts w:ascii="楷体_GB2312" w:eastAsia="楷体_GB2312"/>
          <w:b/>
          <w:bCs/>
          <w:color w:val="000000"/>
          <w:szCs w:val="32"/>
        </w:rPr>
        <w:t>加强</w:t>
      </w:r>
      <w:r>
        <w:rPr>
          <w:rFonts w:hint="eastAsia" w:ascii="楷体_GB2312" w:eastAsia="楷体_GB2312"/>
          <w:b/>
          <w:bCs/>
          <w:color w:val="000000"/>
          <w:szCs w:val="32"/>
        </w:rPr>
        <w:t>土地保障</w:t>
      </w:r>
      <w:bookmarkEnd w:id="49"/>
    </w:p>
    <w:p>
      <w:pPr>
        <w:ind w:firstLine="630" w:firstLineChars="200"/>
        <w:jc w:val="left"/>
        <w:rPr>
          <w:rFonts w:hint="eastAsia"/>
        </w:rPr>
        <w:sectPr>
          <w:footerReference r:id="rId6" w:type="default"/>
          <w:pgSz w:w="11906" w:h="16838"/>
          <w:pgMar w:top="2041" w:right="1474" w:bottom="1134" w:left="1587" w:header="851" w:footer="1474" w:gutter="0"/>
          <w:pgNumType w:fmt="decimal" w:start="1"/>
          <w:cols w:space="720" w:num="1"/>
          <w:docGrid w:type="linesAndChars" w:linePitch="632" w:charSpace="-1065"/>
        </w:sectPr>
      </w:pPr>
      <w:r>
        <w:rPr>
          <w:rFonts w:hint="eastAsia"/>
        </w:rPr>
        <w:t>优先保障电子商务</w:t>
      </w:r>
      <w:r>
        <w:t>龙头</w:t>
      </w:r>
      <w:r>
        <w:rPr>
          <w:rFonts w:hint="eastAsia"/>
        </w:rPr>
        <w:t>企业扩大经营、国内外</w:t>
      </w:r>
      <w:r>
        <w:t>优质</w:t>
      </w:r>
      <w:r>
        <w:rPr>
          <w:rFonts w:hint="eastAsia"/>
        </w:rPr>
        <w:t>电子商务</w:t>
      </w:r>
      <w:r>
        <w:t>平台</w:t>
      </w:r>
      <w:r>
        <w:rPr>
          <w:rFonts w:hint="eastAsia"/>
        </w:rPr>
        <w:t>落户以及重大电子商务项目的用地需求。整合闲置楼宇、厂房和仓储用地等，为优质电子商务和快递企业入驻基地提供保障。在不办理土地权属登记、不改变用地主体的前提下，支持企业利用工业厂房、仓储用房等存量房产和土地资源兴</w:t>
      </w:r>
      <w:r>
        <w:t>建产业</w:t>
      </w:r>
      <w:r>
        <w:rPr>
          <w:rFonts w:hint="eastAsia"/>
        </w:rPr>
        <w:t>园区。物流园区建设规划与土地利用以及城市总体规划衔接。将物流园区建设用地纳入本级土地利用年度计划，各类用地占总用地面积的比例</w:t>
      </w:r>
      <w:r>
        <w:t>严格</w:t>
      </w:r>
      <w:r>
        <w:rPr>
          <w:rFonts w:hint="eastAsia"/>
        </w:rPr>
        <w:t>按国家标准执行。节约和集约使用物流用地，禁止转变物流用地用途。加强物流用地科学论证，跟踪监督企业用地行为，阻止和避免盲目圈地，为未来</w:t>
      </w:r>
      <w:r>
        <w:t>发展</w:t>
      </w:r>
      <w:r>
        <w:rPr>
          <w:rFonts w:hint="eastAsia"/>
        </w:rPr>
        <w:t>预留用地。</w:t>
      </w:r>
    </w:p>
    <w:p>
      <w:pPr>
        <w:numPr>
          <w:ilvl w:val="0"/>
          <w:numId w:val="0"/>
        </w:numPr>
        <w:adjustRightInd w:val="0"/>
        <w:snapToGrid/>
        <w:spacing w:line="324" w:lineRule="auto"/>
        <w:outlineLvl w:val="0"/>
        <w:rPr>
          <w:rFonts w:hint="default" w:ascii="黑体" w:hAnsi="黑体" w:eastAsia="黑体"/>
          <w:b/>
          <w:color w:val="000000"/>
          <w:szCs w:val="32"/>
          <w:lang w:val="en-US" w:eastAsia="zh-CN"/>
        </w:rPr>
      </w:pPr>
      <w:bookmarkStart w:id="50" w:name="_Toc2576"/>
      <w:r>
        <w:rPr>
          <w:rFonts w:hint="eastAsia" w:ascii="黑体" w:hAnsi="黑体" w:eastAsia="黑体"/>
          <w:b/>
          <w:color w:val="000000"/>
          <w:szCs w:val="32"/>
          <w:lang w:val="en-US" w:eastAsia="zh-CN"/>
        </w:rPr>
        <w:t>附件</w:t>
      </w:r>
      <w:bookmarkEnd w:id="50"/>
    </w:p>
    <w:p>
      <w:pPr>
        <w:ind w:firstLine="0" w:firstLineChars="0"/>
        <w:jc w:val="center"/>
      </w:pPr>
      <w:r>
        <w:rPr>
          <w:rFonts w:hint="default"/>
          <w:b/>
          <w:bCs/>
          <w:sz w:val="32"/>
          <w:szCs w:val="32"/>
          <w:lang w:eastAsia="zh-CN"/>
        </w:rPr>
        <w:t xml:space="preserve">附件1 </w:t>
      </w:r>
      <w:r>
        <w:rPr>
          <w:rFonts w:hint="eastAsia"/>
          <w:b/>
          <w:bCs/>
          <w:sz w:val="32"/>
          <w:szCs w:val="32"/>
          <w:lang w:eastAsia="zh-CN"/>
        </w:rPr>
        <w:t>新丰县“十四五”期间</w:t>
      </w:r>
      <w:r>
        <w:rPr>
          <w:b/>
          <w:bCs/>
          <w:sz w:val="32"/>
          <w:szCs w:val="32"/>
        </w:rPr>
        <w:t>重大</w:t>
      </w:r>
      <w:r>
        <w:rPr>
          <w:rFonts w:hint="eastAsia"/>
          <w:b/>
          <w:bCs/>
          <w:sz w:val="32"/>
          <w:szCs w:val="32"/>
          <w:lang w:eastAsia="zh-CN"/>
        </w:rPr>
        <w:t>电商、</w:t>
      </w:r>
      <w:r>
        <w:rPr>
          <w:b/>
          <w:bCs/>
          <w:sz w:val="32"/>
          <w:szCs w:val="32"/>
        </w:rPr>
        <w:t>物流项目</w:t>
      </w:r>
      <w:r>
        <w:rPr>
          <w:rFonts w:hint="eastAsia"/>
          <w:b/>
          <w:bCs/>
          <w:sz w:val="32"/>
          <w:szCs w:val="32"/>
          <w:lang w:eastAsia="zh-CN"/>
        </w:rPr>
        <w:t>计划表</w:t>
      </w:r>
    </w:p>
    <w:tbl>
      <w:tblPr>
        <w:tblStyle w:val="14"/>
        <w:tblW w:w="14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473"/>
        <w:gridCol w:w="1221"/>
        <w:gridCol w:w="1286"/>
        <w:gridCol w:w="1414"/>
        <w:gridCol w:w="7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blHeader/>
          <w:jc w:val="center"/>
        </w:trPr>
        <w:tc>
          <w:tcPr>
            <w:tcW w:w="935" w:type="dxa"/>
            <w:vAlign w:val="center"/>
          </w:tcPr>
          <w:p>
            <w:pPr>
              <w:spacing w:line="240" w:lineRule="auto"/>
              <w:ind w:firstLine="0" w:firstLineChars="0"/>
              <w:jc w:val="center"/>
              <w:rPr>
                <w:rFonts w:hint="eastAsia" w:eastAsia="仿宋_GB2312"/>
                <w:b/>
                <w:sz w:val="28"/>
                <w:szCs w:val="28"/>
                <w:lang w:val="en-US" w:eastAsia="zh-CN"/>
              </w:rPr>
            </w:pPr>
            <w:r>
              <w:rPr>
                <w:rFonts w:hint="eastAsia"/>
                <w:b/>
                <w:sz w:val="28"/>
                <w:szCs w:val="28"/>
                <w:lang w:val="en-US" w:eastAsia="zh-CN"/>
              </w:rPr>
              <w:t>序号</w:t>
            </w:r>
          </w:p>
        </w:tc>
        <w:tc>
          <w:tcPr>
            <w:tcW w:w="2473" w:type="dxa"/>
            <w:vAlign w:val="center"/>
          </w:tcPr>
          <w:p>
            <w:pPr>
              <w:spacing w:line="240" w:lineRule="auto"/>
              <w:ind w:firstLine="0" w:firstLineChars="0"/>
              <w:jc w:val="center"/>
              <w:rPr>
                <w:b/>
                <w:sz w:val="28"/>
                <w:szCs w:val="28"/>
              </w:rPr>
            </w:pPr>
            <w:r>
              <w:rPr>
                <w:b/>
                <w:sz w:val="28"/>
                <w:szCs w:val="28"/>
              </w:rPr>
              <w:t>项目名称</w:t>
            </w:r>
          </w:p>
        </w:tc>
        <w:tc>
          <w:tcPr>
            <w:tcW w:w="1221" w:type="dxa"/>
            <w:vAlign w:val="center"/>
          </w:tcPr>
          <w:p>
            <w:pPr>
              <w:spacing w:line="240" w:lineRule="auto"/>
              <w:ind w:firstLine="0" w:firstLineChars="0"/>
              <w:jc w:val="center"/>
              <w:rPr>
                <w:rFonts w:hint="eastAsia" w:eastAsia="仿宋_GB2312"/>
                <w:b/>
                <w:sz w:val="28"/>
                <w:szCs w:val="28"/>
                <w:lang w:val="en-US" w:eastAsia="zh-CN"/>
              </w:rPr>
            </w:pPr>
            <w:r>
              <w:rPr>
                <w:b/>
                <w:sz w:val="28"/>
                <w:szCs w:val="28"/>
              </w:rPr>
              <w:t>占地</w:t>
            </w:r>
            <w:r>
              <w:rPr>
                <w:rFonts w:hint="eastAsia"/>
                <w:b/>
                <w:sz w:val="28"/>
                <w:szCs w:val="28"/>
                <w:lang w:val="en-US" w:eastAsia="zh-CN"/>
              </w:rPr>
              <w:t>/亩</w:t>
            </w:r>
          </w:p>
        </w:tc>
        <w:tc>
          <w:tcPr>
            <w:tcW w:w="1286" w:type="dxa"/>
            <w:vAlign w:val="center"/>
          </w:tcPr>
          <w:p>
            <w:pPr>
              <w:spacing w:line="240" w:lineRule="auto"/>
              <w:ind w:firstLine="0" w:firstLineChars="0"/>
              <w:jc w:val="center"/>
              <w:rPr>
                <w:rFonts w:hint="eastAsia"/>
                <w:b/>
                <w:sz w:val="28"/>
                <w:szCs w:val="28"/>
                <w:lang w:eastAsia="zh-CN"/>
              </w:rPr>
            </w:pPr>
            <w:r>
              <w:rPr>
                <w:rFonts w:hint="eastAsia"/>
                <w:b/>
                <w:sz w:val="28"/>
                <w:szCs w:val="28"/>
                <w:lang w:eastAsia="zh-CN"/>
              </w:rPr>
              <w:t>投资</w:t>
            </w:r>
          </w:p>
          <w:p>
            <w:pPr>
              <w:spacing w:line="240" w:lineRule="auto"/>
              <w:ind w:firstLine="0" w:firstLineChars="0"/>
              <w:jc w:val="center"/>
              <w:rPr>
                <w:rFonts w:hint="eastAsia" w:eastAsia="仿宋_GB2312"/>
                <w:b/>
                <w:sz w:val="28"/>
                <w:szCs w:val="28"/>
                <w:lang w:eastAsia="zh-CN"/>
              </w:rPr>
            </w:pPr>
            <w:r>
              <w:rPr>
                <w:rFonts w:hint="eastAsia"/>
                <w:b/>
                <w:sz w:val="28"/>
                <w:szCs w:val="28"/>
                <w:lang w:eastAsia="zh-CN"/>
              </w:rPr>
              <w:t>（万元）</w:t>
            </w:r>
          </w:p>
        </w:tc>
        <w:tc>
          <w:tcPr>
            <w:tcW w:w="1414" w:type="dxa"/>
            <w:vAlign w:val="center"/>
          </w:tcPr>
          <w:p>
            <w:pPr>
              <w:spacing w:line="240" w:lineRule="auto"/>
              <w:ind w:firstLine="0" w:firstLineChars="0"/>
              <w:jc w:val="center"/>
              <w:rPr>
                <w:rFonts w:hint="eastAsia" w:eastAsia="仿宋_GB2312"/>
                <w:b/>
                <w:sz w:val="28"/>
                <w:szCs w:val="28"/>
                <w:lang w:eastAsia="zh-CN"/>
              </w:rPr>
            </w:pPr>
            <w:r>
              <w:rPr>
                <w:rFonts w:hint="eastAsia"/>
                <w:b/>
                <w:sz w:val="28"/>
                <w:szCs w:val="28"/>
                <w:lang w:eastAsia="zh-CN"/>
              </w:rPr>
              <w:t>建设时间</w:t>
            </w:r>
          </w:p>
        </w:tc>
        <w:tc>
          <w:tcPr>
            <w:tcW w:w="7287" w:type="dxa"/>
            <w:vAlign w:val="center"/>
          </w:tcPr>
          <w:p>
            <w:pPr>
              <w:spacing w:line="240" w:lineRule="auto"/>
              <w:ind w:firstLine="0" w:firstLineChars="0"/>
              <w:jc w:val="center"/>
              <w:rPr>
                <w:rFonts w:hint="eastAsia" w:eastAsia="仿宋_GB2312"/>
                <w:sz w:val="28"/>
                <w:szCs w:val="28"/>
                <w:lang w:eastAsia="zh-CN"/>
              </w:rPr>
            </w:pPr>
            <w:r>
              <w:rPr>
                <w:rFonts w:hint="eastAsia"/>
                <w:b/>
                <w:sz w:val="28"/>
                <w:szCs w:val="28"/>
                <w:lang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935" w:type="dxa"/>
            <w:vAlign w:val="center"/>
          </w:tcPr>
          <w:p>
            <w:pPr>
              <w:spacing w:line="240" w:lineRule="auto"/>
              <w:ind w:firstLine="0" w:firstLineChars="0"/>
              <w:jc w:val="center"/>
              <w:rPr>
                <w:rFonts w:hint="eastAsia" w:eastAsia="仿宋_GB2312"/>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1</w:t>
            </w:r>
          </w:p>
        </w:tc>
        <w:tc>
          <w:tcPr>
            <w:tcW w:w="2473" w:type="dxa"/>
            <w:vAlign w:val="center"/>
          </w:tcPr>
          <w:p>
            <w:pPr>
              <w:spacing w:line="240" w:lineRule="auto"/>
              <w:ind w:firstLine="0" w:firstLineChars="0"/>
              <w:jc w:val="cente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韶关市新丰县茶叶产业园</w:t>
            </w:r>
          </w:p>
        </w:tc>
        <w:tc>
          <w:tcPr>
            <w:tcW w:w="1221" w:type="dxa"/>
            <w:vAlign w:val="center"/>
          </w:tcPr>
          <w:p>
            <w:pPr>
              <w:spacing w:line="240" w:lineRule="auto"/>
              <w:ind w:firstLine="0" w:firstLineChars="0"/>
              <w:jc w:val="center"/>
              <w:rPr>
                <w:rFonts w:hint="default" w:eastAsia="仿宋_GB2312"/>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15000</w:t>
            </w:r>
          </w:p>
        </w:tc>
        <w:tc>
          <w:tcPr>
            <w:tcW w:w="1286" w:type="dxa"/>
            <w:vAlign w:val="center"/>
          </w:tcPr>
          <w:p>
            <w:pPr>
              <w:spacing w:line="240" w:lineRule="auto"/>
              <w:ind w:firstLine="0" w:firstLineChars="0"/>
              <w:jc w:val="center"/>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5000</w:t>
            </w:r>
          </w:p>
        </w:tc>
        <w:tc>
          <w:tcPr>
            <w:tcW w:w="1414" w:type="dxa"/>
            <w:vAlign w:val="center"/>
          </w:tcPr>
          <w:p>
            <w:pPr>
              <w:spacing w:line="240" w:lineRule="auto"/>
              <w:ind w:firstLine="0" w:firstLineChars="0"/>
              <w:jc w:val="center"/>
              <w:rPr>
                <w:rFonts w:hint="default" w:eastAsia="仿宋_GB2312"/>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2019-2025</w:t>
            </w:r>
          </w:p>
        </w:tc>
        <w:tc>
          <w:tcPr>
            <w:tcW w:w="7287" w:type="dxa"/>
            <w:vAlign w:val="center"/>
          </w:tcPr>
          <w:p>
            <w:pPr>
              <w:spacing w:line="240" w:lineRule="auto"/>
              <w:ind w:firstLine="0" w:firstLineChars="0"/>
              <w:jc w:val="left"/>
              <w:rPr>
                <w:sz w:val="28"/>
                <w:szCs w:val="28"/>
              </w:rPr>
            </w:pPr>
            <w:r>
              <w:rPr>
                <w:rFonts w:hint="eastAsia"/>
                <w:color w:val="000000" w:themeColor="text1"/>
                <w:sz w:val="28"/>
                <w:szCs w:val="28"/>
                <w14:textFill>
                  <w14:solidFill>
                    <w14:schemeClr w14:val="tx1"/>
                  </w14:solidFill>
                </w14:textFill>
              </w:rPr>
              <w:t>依托新丰县黄磜镇、梅坑镇和丰城街道的特色茶叶产业优势，重点完善茶叶产业物流基础设施，建立专业流通市场，打造一批集茶叶及佛手瓜绿色生产、精深加工、仓储流通、科技研发、展销贸易于一体的茶产业链生产流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35" w:type="dxa"/>
            <w:vAlign w:val="center"/>
          </w:tcPr>
          <w:p>
            <w:pPr>
              <w:spacing w:line="240" w:lineRule="auto"/>
              <w:ind w:firstLine="0" w:firstLineChars="0"/>
              <w:jc w:val="center"/>
              <w:rPr>
                <w:rFonts w:hint="default"/>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2</w:t>
            </w:r>
          </w:p>
        </w:tc>
        <w:tc>
          <w:tcPr>
            <w:tcW w:w="2473" w:type="dxa"/>
            <w:vAlign w:val="center"/>
          </w:tcPr>
          <w:p>
            <w:pPr>
              <w:spacing w:line="240" w:lineRule="auto"/>
              <w:ind w:firstLine="0" w:firstLineChars="0"/>
              <w:jc w:val="center"/>
              <w:rPr>
                <w:rFonts w:hint="eastAsia"/>
                <w:color w:val="000000" w:themeColor="text1"/>
                <w:sz w:val="28"/>
                <w:szCs w:val="28"/>
                <w14:textFill>
                  <w14:solidFill>
                    <w14:schemeClr w14:val="tx1"/>
                  </w14:solidFill>
                </w14:textFill>
              </w:rPr>
            </w:pPr>
            <w:r>
              <w:rPr>
                <w:rFonts w:hint="eastAsia"/>
                <w:color w:val="000000" w:themeColor="text1"/>
                <w:sz w:val="28"/>
                <w:szCs w:val="28"/>
                <w:lang w:eastAsia="zh-CN"/>
                <w14:textFill>
                  <w14:solidFill>
                    <w14:schemeClr w14:val="tx1"/>
                  </w14:solidFill>
                </w14:textFill>
              </w:rPr>
              <w:t>每日鲜公司</w:t>
            </w:r>
            <w:r>
              <w:rPr>
                <w:rFonts w:hint="eastAsia"/>
                <w:color w:val="000000" w:themeColor="text1"/>
                <w:sz w:val="28"/>
                <w:szCs w:val="28"/>
                <w14:textFill>
                  <w14:solidFill>
                    <w14:schemeClr w14:val="tx1"/>
                  </w14:solidFill>
                </w14:textFill>
              </w:rPr>
              <w:t>冷链物流</w:t>
            </w:r>
            <w:r>
              <w:rPr>
                <w:rFonts w:hint="eastAsia"/>
                <w:color w:val="000000" w:themeColor="text1"/>
                <w:sz w:val="28"/>
                <w:szCs w:val="28"/>
                <w:lang w:eastAsia="zh-CN"/>
                <w14:textFill>
                  <w14:solidFill>
                    <w14:schemeClr w14:val="tx1"/>
                  </w14:solidFill>
                </w14:textFill>
              </w:rPr>
              <w:t>分拣</w:t>
            </w:r>
            <w:r>
              <w:rPr>
                <w:rFonts w:hint="eastAsia"/>
                <w:color w:val="000000" w:themeColor="text1"/>
                <w:sz w:val="28"/>
                <w:szCs w:val="28"/>
                <w14:textFill>
                  <w14:solidFill>
                    <w14:schemeClr w14:val="tx1"/>
                  </w14:solidFill>
                </w14:textFill>
              </w:rPr>
              <w:t>中心</w:t>
            </w:r>
          </w:p>
        </w:tc>
        <w:tc>
          <w:tcPr>
            <w:tcW w:w="1221" w:type="dxa"/>
            <w:vAlign w:val="center"/>
          </w:tcPr>
          <w:p>
            <w:pPr>
              <w:spacing w:line="240" w:lineRule="auto"/>
              <w:ind w:firstLine="0" w:firstLineChars="0"/>
              <w:jc w:val="center"/>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12</w:t>
            </w:r>
            <w:r>
              <w:rPr>
                <w:rFonts w:hint="eastAsia"/>
                <w:color w:val="000000" w:themeColor="text1"/>
                <w:sz w:val="28"/>
                <w:szCs w:val="28"/>
                <w14:textFill>
                  <w14:solidFill>
                    <w14:schemeClr w14:val="tx1"/>
                  </w14:solidFill>
                </w14:textFill>
              </w:rPr>
              <w:t>0</w:t>
            </w:r>
          </w:p>
        </w:tc>
        <w:tc>
          <w:tcPr>
            <w:tcW w:w="1286" w:type="dxa"/>
            <w:vAlign w:val="center"/>
          </w:tcPr>
          <w:p>
            <w:pPr>
              <w:spacing w:line="240" w:lineRule="auto"/>
              <w:ind w:firstLine="0" w:firstLineChars="0"/>
              <w:jc w:val="center"/>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 xml:space="preserve">1200 </w:t>
            </w:r>
          </w:p>
        </w:tc>
        <w:tc>
          <w:tcPr>
            <w:tcW w:w="1414" w:type="dxa"/>
            <w:vAlign w:val="center"/>
          </w:tcPr>
          <w:p>
            <w:pPr>
              <w:spacing w:line="240" w:lineRule="auto"/>
              <w:ind w:firstLine="0" w:firstLineChars="0"/>
              <w:jc w:val="center"/>
              <w:rPr>
                <w:rFonts w:hint="default" w:eastAsia="仿宋_GB2312"/>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2020-2023</w:t>
            </w:r>
          </w:p>
        </w:tc>
        <w:tc>
          <w:tcPr>
            <w:tcW w:w="7287" w:type="dxa"/>
            <w:vAlign w:val="center"/>
          </w:tcPr>
          <w:p>
            <w:pPr>
              <w:spacing w:line="240" w:lineRule="auto"/>
              <w:ind w:firstLine="0" w:firstLineChars="0"/>
              <w:jc w:val="left"/>
              <w:rPr>
                <w:sz w:val="28"/>
                <w:szCs w:val="28"/>
              </w:rPr>
            </w:pPr>
            <w:r>
              <w:rPr>
                <w:rFonts w:hint="eastAsia"/>
                <w:color w:val="000000" w:themeColor="text1"/>
                <w:sz w:val="28"/>
                <w:szCs w:val="28"/>
                <w14:textFill>
                  <w14:solidFill>
                    <w14:schemeClr w14:val="tx1"/>
                  </w14:solidFill>
                </w14:textFill>
              </w:rPr>
              <w:t>建成集冷链仓储</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冷冻肉类、食品、水产品、蔬果等农产品</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、生产加工、中央厨房、冷链配送、电子商务、产品追溯等功能于一体的现代冷链流通中心。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935" w:type="dxa"/>
            <w:vAlign w:val="center"/>
          </w:tcPr>
          <w:p>
            <w:pPr>
              <w:spacing w:line="240" w:lineRule="auto"/>
              <w:ind w:firstLine="0" w:firstLineChars="0"/>
              <w:jc w:val="center"/>
              <w:rPr>
                <w:rFonts w:hint="default"/>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3</w:t>
            </w:r>
          </w:p>
        </w:tc>
        <w:tc>
          <w:tcPr>
            <w:tcW w:w="2473" w:type="dxa"/>
            <w:vAlign w:val="center"/>
          </w:tcPr>
          <w:p>
            <w:pPr>
              <w:spacing w:line="240" w:lineRule="auto"/>
              <w:ind w:firstLine="0" w:firstLineChars="0"/>
              <w:jc w:val="center"/>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省级电子商务进农村示范县工程</w:t>
            </w:r>
          </w:p>
        </w:tc>
        <w:tc>
          <w:tcPr>
            <w:tcW w:w="1221" w:type="dxa"/>
            <w:vAlign w:val="center"/>
          </w:tcPr>
          <w:p>
            <w:pPr>
              <w:spacing w:line="240" w:lineRule="auto"/>
              <w:ind w:firstLine="0" w:firstLineChars="0"/>
              <w:jc w:val="center"/>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50</w:t>
            </w:r>
          </w:p>
        </w:tc>
        <w:tc>
          <w:tcPr>
            <w:tcW w:w="1286" w:type="dxa"/>
            <w:vAlign w:val="center"/>
          </w:tcPr>
          <w:p>
            <w:pPr>
              <w:spacing w:line="240" w:lineRule="auto"/>
              <w:ind w:firstLine="0" w:firstLineChars="0"/>
              <w:jc w:val="center"/>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500</w:t>
            </w:r>
          </w:p>
        </w:tc>
        <w:tc>
          <w:tcPr>
            <w:tcW w:w="1414" w:type="dxa"/>
            <w:vAlign w:val="center"/>
          </w:tcPr>
          <w:p>
            <w:pPr>
              <w:spacing w:line="240" w:lineRule="auto"/>
              <w:ind w:firstLine="0" w:firstLineChars="0"/>
              <w:jc w:val="center"/>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2020-2022</w:t>
            </w:r>
          </w:p>
        </w:tc>
        <w:tc>
          <w:tcPr>
            <w:tcW w:w="7287" w:type="dxa"/>
            <w:vAlign w:val="center"/>
          </w:tcPr>
          <w:p>
            <w:pPr>
              <w:spacing w:line="240" w:lineRule="auto"/>
              <w:ind w:firstLine="0" w:firstLineChars="0"/>
              <w:jc w:val="left"/>
              <w:rPr>
                <w:sz w:val="28"/>
                <w:szCs w:val="28"/>
              </w:rPr>
            </w:pPr>
            <w:r>
              <w:rPr>
                <w:rFonts w:hint="eastAsia"/>
                <w:color w:val="000000" w:themeColor="text1"/>
                <w:sz w:val="28"/>
                <w:szCs w:val="28"/>
                <w14:textFill>
                  <w14:solidFill>
                    <w14:schemeClr w14:val="tx1"/>
                  </w14:solidFill>
                </w14:textFill>
              </w:rPr>
              <w:t>新建</w:t>
            </w:r>
            <w:r>
              <w:rPr>
                <w:rFonts w:hint="eastAsia"/>
                <w:color w:val="000000" w:themeColor="text1"/>
                <w:sz w:val="28"/>
                <w:szCs w:val="28"/>
                <w:lang w:val="en-US" w:eastAsia="zh-CN"/>
                <w14:textFill>
                  <w14:solidFill>
                    <w14:schemeClr w14:val="tx1"/>
                  </w14:solidFill>
                </w14:textFill>
              </w:rPr>
              <w:t>1个</w:t>
            </w:r>
            <w:r>
              <w:rPr>
                <w:rFonts w:hint="eastAsia"/>
                <w:color w:val="000000" w:themeColor="text1"/>
                <w:sz w:val="28"/>
                <w:szCs w:val="28"/>
                <w14:textFill>
                  <w14:solidFill>
                    <w14:schemeClr w14:val="tx1"/>
                  </w14:solidFill>
                </w14:textFill>
              </w:rPr>
              <w:t>县级农村</w:t>
            </w:r>
            <w:r>
              <w:rPr>
                <w:rFonts w:hint="eastAsia"/>
                <w:color w:val="000000" w:themeColor="text1"/>
                <w:sz w:val="28"/>
                <w:szCs w:val="28"/>
                <w:lang w:eastAsia="zh-CN"/>
                <w14:textFill>
                  <w14:solidFill>
                    <w14:schemeClr w14:val="tx1"/>
                  </w14:solidFill>
                </w14:textFill>
              </w:rPr>
              <w:t>电商、</w:t>
            </w:r>
            <w:r>
              <w:rPr>
                <w:rFonts w:hint="eastAsia"/>
                <w:color w:val="000000" w:themeColor="text1"/>
                <w:sz w:val="28"/>
                <w:szCs w:val="28"/>
                <w14:textFill>
                  <w14:solidFill>
                    <w14:schemeClr w14:val="tx1"/>
                  </w14:solidFill>
                </w14:textFill>
              </w:rPr>
              <w:t>物流中心</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141个行政村</w:t>
            </w:r>
            <w:r>
              <w:rPr>
                <w:rFonts w:hint="eastAsia"/>
                <w:color w:val="000000" w:themeColor="text1"/>
                <w:sz w:val="28"/>
                <w:szCs w:val="28"/>
                <w14:textFill>
                  <w14:solidFill>
                    <w14:schemeClr w14:val="tx1"/>
                  </w14:solidFill>
                </w14:textFill>
              </w:rPr>
              <w:t>依托农村现有生活综合服务中心、超市、村邮站、快递网点、乐村淘等功能设施，建设村级农村物流服务点</w:t>
            </w:r>
            <w:r>
              <w:rPr>
                <w:rFonts w:hint="eastAsia"/>
                <w:color w:val="000000" w:themeColor="text1"/>
                <w:sz w:val="28"/>
                <w:szCs w:val="28"/>
                <w:lang w:eastAsia="zh-CN"/>
                <w14:textFill>
                  <w14:solidFill>
                    <w14:schemeClr w14:val="tx1"/>
                  </w14:solidFill>
                </w14:textFill>
              </w:rPr>
              <w:t>，提供</w:t>
            </w:r>
            <w:r>
              <w:rPr>
                <w:rFonts w:hint="eastAsia"/>
                <w:color w:val="000000" w:themeColor="text1"/>
                <w:sz w:val="28"/>
                <w:szCs w:val="28"/>
                <w14:textFill>
                  <w14:solidFill>
                    <w14:schemeClr w14:val="tx1"/>
                  </w14:solidFill>
                </w14:textFill>
              </w:rPr>
              <w:t>快递取寄、邮政服务、农产品上行、工业品下行、民政综合服务等</w:t>
            </w:r>
            <w:r>
              <w:rPr>
                <w:rFonts w:hint="eastAsia"/>
                <w:color w:val="000000" w:themeColor="text1"/>
                <w:sz w:val="28"/>
                <w:szCs w:val="2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935" w:type="dxa"/>
            <w:vAlign w:val="center"/>
          </w:tcPr>
          <w:p>
            <w:pPr>
              <w:spacing w:line="240" w:lineRule="auto"/>
              <w:ind w:firstLine="0" w:firstLineChars="0"/>
              <w:jc w:val="center"/>
              <w:rPr>
                <w:rFonts w:hint="eastAsia" w:eastAsia="仿宋_GB2312"/>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4</w:t>
            </w:r>
          </w:p>
        </w:tc>
        <w:tc>
          <w:tcPr>
            <w:tcW w:w="2473" w:type="dxa"/>
            <w:vAlign w:val="center"/>
          </w:tcPr>
          <w:p>
            <w:pPr>
              <w:spacing w:line="240" w:lineRule="auto"/>
              <w:ind w:firstLine="0" w:firstLineChars="0"/>
              <w:jc w:val="center"/>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14:textFill>
                  <w14:solidFill>
                    <w14:schemeClr w14:val="tx1"/>
                  </w14:solidFill>
                </w14:textFill>
              </w:rPr>
              <w:t>中心镇特色农产品物流服务站点工程</w:t>
            </w:r>
            <w:r>
              <w:rPr>
                <w:rFonts w:hint="eastAsia"/>
                <w:color w:val="000000" w:themeColor="text1"/>
                <w:sz w:val="28"/>
                <w:szCs w:val="28"/>
                <w:lang w:eastAsia="zh-CN"/>
                <w14:textFill>
                  <w14:solidFill>
                    <w14:schemeClr w14:val="tx1"/>
                  </w14:solidFill>
                </w14:textFill>
              </w:rPr>
              <w:t>（回龙镇、马头镇）</w:t>
            </w:r>
          </w:p>
        </w:tc>
        <w:tc>
          <w:tcPr>
            <w:tcW w:w="1221" w:type="dxa"/>
            <w:vAlign w:val="center"/>
          </w:tcPr>
          <w:p>
            <w:pPr>
              <w:spacing w:line="240" w:lineRule="auto"/>
              <w:ind w:firstLine="0" w:firstLineChars="0"/>
              <w:jc w:val="center"/>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20</w:t>
            </w:r>
          </w:p>
        </w:tc>
        <w:tc>
          <w:tcPr>
            <w:tcW w:w="1286" w:type="dxa"/>
            <w:vAlign w:val="center"/>
          </w:tcPr>
          <w:p>
            <w:pPr>
              <w:spacing w:line="240" w:lineRule="auto"/>
              <w:ind w:firstLine="0" w:firstLineChars="0"/>
              <w:jc w:val="center"/>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1000</w:t>
            </w:r>
          </w:p>
        </w:tc>
        <w:tc>
          <w:tcPr>
            <w:tcW w:w="1414" w:type="dxa"/>
            <w:vAlign w:val="center"/>
          </w:tcPr>
          <w:p>
            <w:pPr>
              <w:spacing w:line="240" w:lineRule="auto"/>
              <w:ind w:firstLine="0" w:firstLineChars="0"/>
              <w:jc w:val="center"/>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2021-2025</w:t>
            </w:r>
          </w:p>
        </w:tc>
        <w:tc>
          <w:tcPr>
            <w:tcW w:w="7287" w:type="dxa"/>
            <w:vAlign w:val="center"/>
          </w:tcPr>
          <w:p>
            <w:pPr>
              <w:spacing w:line="240" w:lineRule="auto"/>
              <w:ind w:firstLine="0" w:firstLineChars="0"/>
              <w:jc w:val="left"/>
              <w:rPr>
                <w:sz w:val="28"/>
                <w:szCs w:val="28"/>
              </w:rPr>
            </w:pPr>
            <w:r>
              <w:rPr>
                <w:rFonts w:hint="eastAsia"/>
                <w:color w:val="000000" w:themeColor="text1"/>
                <w:sz w:val="28"/>
                <w:szCs w:val="28"/>
                <w:lang w:eastAsia="zh-CN"/>
                <w14:textFill>
                  <w14:solidFill>
                    <w14:schemeClr w14:val="tx1"/>
                  </w14:solidFill>
                </w14:textFill>
              </w:rPr>
              <w:t>各</w:t>
            </w:r>
            <w:r>
              <w:rPr>
                <w:rFonts w:hint="eastAsia"/>
                <w:color w:val="000000" w:themeColor="text1"/>
                <w:sz w:val="28"/>
                <w:szCs w:val="28"/>
                <w14:textFill>
                  <w14:solidFill>
                    <w14:schemeClr w14:val="tx1"/>
                  </w14:solidFill>
                </w14:textFill>
              </w:rPr>
              <w:t>安排</w:t>
            </w:r>
            <w:r>
              <w:rPr>
                <w:rFonts w:hint="eastAsia"/>
                <w:color w:val="000000" w:themeColor="text1"/>
                <w:sz w:val="28"/>
                <w:szCs w:val="28"/>
                <w:lang w:eastAsia="zh-CN"/>
                <w14:textFill>
                  <w14:solidFill>
                    <w14:schemeClr w14:val="tx1"/>
                  </w14:solidFill>
                </w14:textFill>
              </w:rPr>
              <w:t>约</w:t>
            </w:r>
            <w:r>
              <w:rPr>
                <w:rFonts w:hint="eastAsia"/>
                <w:color w:val="000000" w:themeColor="text1"/>
                <w:sz w:val="28"/>
                <w:szCs w:val="28"/>
                <w14:textFill>
                  <w14:solidFill>
                    <w14:schemeClr w14:val="tx1"/>
                  </w14:solidFill>
                </w14:textFill>
              </w:rPr>
              <w:t>10亩用地</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建设镇级农村物流服务站、冷链物流设施、具有批发功能的集贸市场</w:t>
            </w:r>
            <w:r>
              <w:rPr>
                <w:rFonts w:hint="eastAsia"/>
                <w:color w:val="000000" w:themeColor="text1"/>
                <w:sz w:val="28"/>
                <w:szCs w:val="28"/>
                <w:lang w:eastAsia="zh-CN"/>
                <w14:textFill>
                  <w14:solidFill>
                    <w14:schemeClr w14:val="tx1"/>
                  </w14:solidFill>
                </w14:textFill>
              </w:rPr>
              <w:t>（水稻、花生、黄豆、甘蔗、蔬菜、鹰嘴桃、红薯等）。</w:t>
            </w:r>
          </w:p>
        </w:tc>
      </w:tr>
    </w:tbl>
    <w:p>
      <w:pPr>
        <w:bidi w:val="0"/>
      </w:pPr>
    </w:p>
    <w:sectPr>
      <w:pgSz w:w="16838" w:h="11906" w:orient="landscape"/>
      <w:pgMar w:top="2041" w:right="1474" w:bottom="1134" w:left="1587" w:header="851" w:footer="1474" w:gutter="0"/>
      <w:pgNumType w:fmt="decimal"/>
      <w:cols w:space="720" w:num="1"/>
      <w:docGrid w:type="linesAndChars" w:linePitch="632" w:charSpace="-10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00000" w:csb1="00000000"/>
  </w:font>
  <w:font w:name="Calibri Light">
    <w:altName w:val="Calibri"/>
    <w:panose1 w:val="020F0302020204030204"/>
    <w:charset w:val="00"/>
    <w:family w:val="swiss"/>
    <w:pitch w:val="default"/>
    <w:sig w:usb0="00000000" w:usb1="00000000" w:usb2="00000009" w:usb3="00000000" w:csb0="200001FF" w:csb1="00000000"/>
  </w:font>
  <w:font w:name="方正小标宋_GBK">
    <w:altName w:val="微软雅黑"/>
    <w:panose1 w:val="03000509000000000000"/>
    <w:charset w:val="86"/>
    <w:family w:val="auto"/>
    <w:pitch w:val="default"/>
    <w:sig w:usb0="00000000" w:usb1="00000000" w:usb2="00000000" w:usb3="00000000" w:csb0="00000000" w:csb1="00000000"/>
  </w:font>
  <w:font w:name="方正大标宋简体">
    <w:altName w:val="微软雅黑"/>
    <w:panose1 w:val="02010601030101010101"/>
    <w:charset w:val="86"/>
    <w:family w:val="auto"/>
    <w:pitch w:val="default"/>
    <w:sig w:usb0="00000000" w:usb1="00000000" w:usb2="00000000" w:usb3="00000000" w:csb0="00000000"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Style w:val="16"/>
                            </w:rPr>
                          </w:pPr>
                          <w:r>
                            <w:rPr>
                              <w:rStyle w:val="16"/>
                            </w:rPr>
                            <w:fldChar w:fldCharType="begin"/>
                          </w:r>
                          <w:r>
                            <w:rPr>
                              <w:rStyle w:val="16"/>
                            </w:rPr>
                            <w:instrText xml:space="preserve">PAGE  </w:instrText>
                          </w:r>
                          <w:r>
                            <w:rPr>
                              <w:rStyle w:val="16"/>
                            </w:rPr>
                            <w:fldChar w:fldCharType="separate"/>
                          </w:r>
                          <w:r>
                            <w:rPr>
                              <w:rStyle w:val="16"/>
                            </w:rPr>
                            <w:t>14</w:t>
                          </w:r>
                          <w:r>
                            <w:rPr>
                              <w:rStyle w:val="1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rStyle w:val="16"/>
                      </w:rPr>
                    </w:pPr>
                    <w:r>
                      <w:rPr>
                        <w:rStyle w:val="16"/>
                      </w:rPr>
                      <w:fldChar w:fldCharType="begin"/>
                    </w:r>
                    <w:r>
                      <w:rPr>
                        <w:rStyle w:val="16"/>
                      </w:rPr>
                      <w:instrText xml:space="preserve">PAGE  </w:instrText>
                    </w:r>
                    <w:r>
                      <w:rPr>
                        <w:rStyle w:val="16"/>
                      </w:rPr>
                      <w:fldChar w:fldCharType="separate"/>
                    </w:r>
                    <w:r>
                      <w:rPr>
                        <w:rStyle w:val="16"/>
                      </w:rPr>
                      <w:t>14</w:t>
                    </w:r>
                    <w:r>
                      <w:rPr>
                        <w:rStyle w:val="16"/>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0C4663"/>
    <w:multiLevelType w:val="singleLevel"/>
    <w:tmpl w:val="910C4663"/>
    <w:lvl w:ilvl="0" w:tentative="0">
      <w:start w:val="1"/>
      <w:numFmt w:val="chineseCounting"/>
      <w:suff w:val="nothing"/>
      <w:lvlText w:val="（%1）"/>
      <w:lvlJc w:val="left"/>
      <w:pPr>
        <w:ind w:left="0" w:firstLine="420"/>
      </w:pPr>
      <w:rPr>
        <w:rFonts w:hint="eastAsia"/>
      </w:rPr>
    </w:lvl>
  </w:abstractNum>
  <w:abstractNum w:abstractNumId="1">
    <w:nsid w:val="A2C2C9C1"/>
    <w:multiLevelType w:val="singleLevel"/>
    <w:tmpl w:val="A2C2C9C1"/>
    <w:lvl w:ilvl="0" w:tentative="0">
      <w:start w:val="1"/>
      <w:numFmt w:val="chineseCounting"/>
      <w:suff w:val="nothing"/>
      <w:lvlText w:val="（%1）"/>
      <w:lvlJc w:val="left"/>
      <w:pPr>
        <w:ind w:left="0" w:firstLine="420"/>
      </w:pPr>
      <w:rPr>
        <w:rFonts w:hint="eastAsia"/>
      </w:rPr>
    </w:lvl>
  </w:abstractNum>
  <w:abstractNum w:abstractNumId="2">
    <w:nsid w:val="C8D2903B"/>
    <w:multiLevelType w:val="singleLevel"/>
    <w:tmpl w:val="C8D2903B"/>
    <w:lvl w:ilvl="0" w:tentative="0">
      <w:start w:val="1"/>
      <w:numFmt w:val="chineseCounting"/>
      <w:suff w:val="nothing"/>
      <w:lvlText w:val="（%1）"/>
      <w:lvlJc w:val="left"/>
      <w:pPr>
        <w:ind w:left="0" w:firstLine="420"/>
      </w:pPr>
      <w:rPr>
        <w:rFonts w:hint="eastAsia"/>
      </w:rPr>
    </w:lvl>
  </w:abstractNum>
  <w:abstractNum w:abstractNumId="3">
    <w:nsid w:val="C99844DF"/>
    <w:multiLevelType w:val="singleLevel"/>
    <w:tmpl w:val="C99844DF"/>
    <w:lvl w:ilvl="0" w:tentative="0">
      <w:start w:val="1"/>
      <w:numFmt w:val="chineseCounting"/>
      <w:suff w:val="nothing"/>
      <w:lvlText w:val="（%1）"/>
      <w:lvlJc w:val="left"/>
      <w:pPr>
        <w:ind w:left="0" w:firstLine="420"/>
      </w:pPr>
      <w:rPr>
        <w:rFonts w:hint="eastAsia"/>
      </w:rPr>
    </w:lvl>
  </w:abstractNum>
  <w:abstractNum w:abstractNumId="4">
    <w:nsid w:val="562584C5"/>
    <w:multiLevelType w:val="singleLevel"/>
    <w:tmpl w:val="562584C5"/>
    <w:lvl w:ilvl="0" w:tentative="0">
      <w:start w:val="1"/>
      <w:numFmt w:val="chineseCounting"/>
      <w:suff w:val="nothing"/>
      <w:lvlText w:val="%1、"/>
      <w:lvlJc w:val="left"/>
    </w:lvl>
  </w:abstractNum>
  <w:abstractNum w:abstractNumId="5">
    <w:nsid w:val="63CB218B"/>
    <w:multiLevelType w:val="singleLevel"/>
    <w:tmpl w:val="63CB218B"/>
    <w:lvl w:ilvl="0" w:tentative="0">
      <w:start w:val="1"/>
      <w:numFmt w:val="chineseCounting"/>
      <w:suff w:val="nothing"/>
      <w:lvlText w:val="（%1）"/>
      <w:lvlJc w:val="left"/>
      <w:pPr>
        <w:ind w:left="0" w:firstLine="420"/>
      </w:pPr>
      <w:rPr>
        <w:rFonts w:hint="eastAsia"/>
      </w:r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hideSpellingErrors/>
  <w:hideGrammaticalErrors/>
  <w:documentProtection w:enforcement="0"/>
  <w:defaultTabStop w:val="420"/>
  <w:drawingGridHorizontalSpacing w:val="315"/>
  <w:drawingGridVerticalSpacing w:val="31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671CA5"/>
    <w:rsid w:val="0000204C"/>
    <w:rsid w:val="00002616"/>
    <w:rsid w:val="000114D0"/>
    <w:rsid w:val="00011C9C"/>
    <w:rsid w:val="0001395E"/>
    <w:rsid w:val="00014949"/>
    <w:rsid w:val="0001606C"/>
    <w:rsid w:val="00016D68"/>
    <w:rsid w:val="000205FD"/>
    <w:rsid w:val="00023116"/>
    <w:rsid w:val="00024EBD"/>
    <w:rsid w:val="0002739A"/>
    <w:rsid w:val="000278FE"/>
    <w:rsid w:val="000302B9"/>
    <w:rsid w:val="0003751E"/>
    <w:rsid w:val="00047C7E"/>
    <w:rsid w:val="00047CFD"/>
    <w:rsid w:val="00050A83"/>
    <w:rsid w:val="00050CCB"/>
    <w:rsid w:val="00052660"/>
    <w:rsid w:val="000562A8"/>
    <w:rsid w:val="00056B79"/>
    <w:rsid w:val="00056F32"/>
    <w:rsid w:val="00060B83"/>
    <w:rsid w:val="00061430"/>
    <w:rsid w:val="00061899"/>
    <w:rsid w:val="000618B7"/>
    <w:rsid w:val="00070086"/>
    <w:rsid w:val="000709B4"/>
    <w:rsid w:val="00071C96"/>
    <w:rsid w:val="00075C16"/>
    <w:rsid w:val="0008010F"/>
    <w:rsid w:val="00080B00"/>
    <w:rsid w:val="0008126C"/>
    <w:rsid w:val="000829D8"/>
    <w:rsid w:val="00084F3A"/>
    <w:rsid w:val="000850B2"/>
    <w:rsid w:val="000914B3"/>
    <w:rsid w:val="00095465"/>
    <w:rsid w:val="0009583A"/>
    <w:rsid w:val="000A3DAC"/>
    <w:rsid w:val="000A5039"/>
    <w:rsid w:val="000A6818"/>
    <w:rsid w:val="000A7D41"/>
    <w:rsid w:val="000B17D3"/>
    <w:rsid w:val="000B29C6"/>
    <w:rsid w:val="000B4116"/>
    <w:rsid w:val="000B4600"/>
    <w:rsid w:val="000B55E7"/>
    <w:rsid w:val="000B61B3"/>
    <w:rsid w:val="000C0782"/>
    <w:rsid w:val="000C1040"/>
    <w:rsid w:val="000C2BC0"/>
    <w:rsid w:val="000C3121"/>
    <w:rsid w:val="000C6038"/>
    <w:rsid w:val="000D24F5"/>
    <w:rsid w:val="000D3075"/>
    <w:rsid w:val="000D5E2B"/>
    <w:rsid w:val="000D653A"/>
    <w:rsid w:val="000E0584"/>
    <w:rsid w:val="000E5D9D"/>
    <w:rsid w:val="000F08BB"/>
    <w:rsid w:val="000F0A6D"/>
    <w:rsid w:val="000F1C90"/>
    <w:rsid w:val="000F2C45"/>
    <w:rsid w:val="000F3F85"/>
    <w:rsid w:val="000F4A0B"/>
    <w:rsid w:val="00102569"/>
    <w:rsid w:val="0010349D"/>
    <w:rsid w:val="00103D64"/>
    <w:rsid w:val="0010683B"/>
    <w:rsid w:val="00106F9B"/>
    <w:rsid w:val="001100F1"/>
    <w:rsid w:val="001107A0"/>
    <w:rsid w:val="00114322"/>
    <w:rsid w:val="00114331"/>
    <w:rsid w:val="00120B7B"/>
    <w:rsid w:val="00123A15"/>
    <w:rsid w:val="00126D3B"/>
    <w:rsid w:val="001278AF"/>
    <w:rsid w:val="00127A8F"/>
    <w:rsid w:val="001332E8"/>
    <w:rsid w:val="00135C5F"/>
    <w:rsid w:val="00136409"/>
    <w:rsid w:val="00137D32"/>
    <w:rsid w:val="00144363"/>
    <w:rsid w:val="00145886"/>
    <w:rsid w:val="0014641A"/>
    <w:rsid w:val="0014675A"/>
    <w:rsid w:val="00147A9D"/>
    <w:rsid w:val="00150EFC"/>
    <w:rsid w:val="001544AF"/>
    <w:rsid w:val="00154811"/>
    <w:rsid w:val="00156097"/>
    <w:rsid w:val="0015777E"/>
    <w:rsid w:val="00163283"/>
    <w:rsid w:val="00163C02"/>
    <w:rsid w:val="00164F07"/>
    <w:rsid w:val="00165C6A"/>
    <w:rsid w:val="00166A09"/>
    <w:rsid w:val="001711C0"/>
    <w:rsid w:val="0017169E"/>
    <w:rsid w:val="0017492D"/>
    <w:rsid w:val="001750D7"/>
    <w:rsid w:val="00186269"/>
    <w:rsid w:val="00187AAB"/>
    <w:rsid w:val="00192A58"/>
    <w:rsid w:val="001930C1"/>
    <w:rsid w:val="0019322F"/>
    <w:rsid w:val="00193873"/>
    <w:rsid w:val="001969BF"/>
    <w:rsid w:val="00197800"/>
    <w:rsid w:val="001A5049"/>
    <w:rsid w:val="001A6818"/>
    <w:rsid w:val="001B0159"/>
    <w:rsid w:val="001B0664"/>
    <w:rsid w:val="001B2445"/>
    <w:rsid w:val="001B5F45"/>
    <w:rsid w:val="001B7012"/>
    <w:rsid w:val="001C0E07"/>
    <w:rsid w:val="001C3EAC"/>
    <w:rsid w:val="001C44EF"/>
    <w:rsid w:val="001C6874"/>
    <w:rsid w:val="001C6BAA"/>
    <w:rsid w:val="001C7822"/>
    <w:rsid w:val="001D0B67"/>
    <w:rsid w:val="001D25F3"/>
    <w:rsid w:val="001D360E"/>
    <w:rsid w:val="001D3CCC"/>
    <w:rsid w:val="001D4B84"/>
    <w:rsid w:val="001D59D3"/>
    <w:rsid w:val="001D68A9"/>
    <w:rsid w:val="001E3D95"/>
    <w:rsid w:val="001E42DA"/>
    <w:rsid w:val="001E5B6E"/>
    <w:rsid w:val="001E7B42"/>
    <w:rsid w:val="001F1C25"/>
    <w:rsid w:val="001F1F0B"/>
    <w:rsid w:val="001F4779"/>
    <w:rsid w:val="001F4FC9"/>
    <w:rsid w:val="0020038A"/>
    <w:rsid w:val="00201800"/>
    <w:rsid w:val="00202660"/>
    <w:rsid w:val="00202840"/>
    <w:rsid w:val="002049A5"/>
    <w:rsid w:val="00206D75"/>
    <w:rsid w:val="00210C61"/>
    <w:rsid w:val="002124B2"/>
    <w:rsid w:val="00212567"/>
    <w:rsid w:val="00216ABE"/>
    <w:rsid w:val="00220F0B"/>
    <w:rsid w:val="00223B21"/>
    <w:rsid w:val="002242EF"/>
    <w:rsid w:val="002338DC"/>
    <w:rsid w:val="00234E9A"/>
    <w:rsid w:val="0023587A"/>
    <w:rsid w:val="002362A9"/>
    <w:rsid w:val="00241F75"/>
    <w:rsid w:val="00246900"/>
    <w:rsid w:val="0025418A"/>
    <w:rsid w:val="00254564"/>
    <w:rsid w:val="00255EFF"/>
    <w:rsid w:val="002568DA"/>
    <w:rsid w:val="00256E64"/>
    <w:rsid w:val="002574B0"/>
    <w:rsid w:val="00270967"/>
    <w:rsid w:val="00270FEF"/>
    <w:rsid w:val="00272ED4"/>
    <w:rsid w:val="00273AC3"/>
    <w:rsid w:val="00275C63"/>
    <w:rsid w:val="00276AE6"/>
    <w:rsid w:val="00276F8E"/>
    <w:rsid w:val="0027755D"/>
    <w:rsid w:val="00294815"/>
    <w:rsid w:val="0029535C"/>
    <w:rsid w:val="002963FD"/>
    <w:rsid w:val="002A17BE"/>
    <w:rsid w:val="002A207F"/>
    <w:rsid w:val="002A47D0"/>
    <w:rsid w:val="002A6064"/>
    <w:rsid w:val="002B135C"/>
    <w:rsid w:val="002B1B00"/>
    <w:rsid w:val="002B4EB1"/>
    <w:rsid w:val="002B5E35"/>
    <w:rsid w:val="002B7381"/>
    <w:rsid w:val="002C0F38"/>
    <w:rsid w:val="002C12A7"/>
    <w:rsid w:val="002C1353"/>
    <w:rsid w:val="002C5128"/>
    <w:rsid w:val="002C5896"/>
    <w:rsid w:val="002D3376"/>
    <w:rsid w:val="002D346C"/>
    <w:rsid w:val="002D3A61"/>
    <w:rsid w:val="002D582C"/>
    <w:rsid w:val="002E2A85"/>
    <w:rsid w:val="002E767E"/>
    <w:rsid w:val="002F1CC2"/>
    <w:rsid w:val="002F3D13"/>
    <w:rsid w:val="002F5BB6"/>
    <w:rsid w:val="002F5FC0"/>
    <w:rsid w:val="002F6F66"/>
    <w:rsid w:val="003009FA"/>
    <w:rsid w:val="00302940"/>
    <w:rsid w:val="0030422F"/>
    <w:rsid w:val="003043CB"/>
    <w:rsid w:val="0030568F"/>
    <w:rsid w:val="00306438"/>
    <w:rsid w:val="00306FBA"/>
    <w:rsid w:val="00311BD7"/>
    <w:rsid w:val="00312657"/>
    <w:rsid w:val="00313980"/>
    <w:rsid w:val="003162BD"/>
    <w:rsid w:val="0032352B"/>
    <w:rsid w:val="00326A61"/>
    <w:rsid w:val="00326C73"/>
    <w:rsid w:val="00326D8E"/>
    <w:rsid w:val="00330708"/>
    <w:rsid w:val="00331250"/>
    <w:rsid w:val="00331687"/>
    <w:rsid w:val="00335CA8"/>
    <w:rsid w:val="0033739D"/>
    <w:rsid w:val="0034177C"/>
    <w:rsid w:val="00341AF9"/>
    <w:rsid w:val="00347869"/>
    <w:rsid w:val="0034791A"/>
    <w:rsid w:val="00352C83"/>
    <w:rsid w:val="00353B46"/>
    <w:rsid w:val="0036381C"/>
    <w:rsid w:val="00363B9B"/>
    <w:rsid w:val="00364003"/>
    <w:rsid w:val="00365413"/>
    <w:rsid w:val="003671BD"/>
    <w:rsid w:val="00373F28"/>
    <w:rsid w:val="003764D5"/>
    <w:rsid w:val="003822F9"/>
    <w:rsid w:val="0038335E"/>
    <w:rsid w:val="00383746"/>
    <w:rsid w:val="0038380D"/>
    <w:rsid w:val="00383AD8"/>
    <w:rsid w:val="0038548B"/>
    <w:rsid w:val="00385F94"/>
    <w:rsid w:val="00387F62"/>
    <w:rsid w:val="00390262"/>
    <w:rsid w:val="003934D4"/>
    <w:rsid w:val="00395208"/>
    <w:rsid w:val="003A095E"/>
    <w:rsid w:val="003A4B01"/>
    <w:rsid w:val="003A5FE0"/>
    <w:rsid w:val="003B3E45"/>
    <w:rsid w:val="003C0AB6"/>
    <w:rsid w:val="003C111F"/>
    <w:rsid w:val="003C1EDA"/>
    <w:rsid w:val="003C3243"/>
    <w:rsid w:val="003C330B"/>
    <w:rsid w:val="003C4AE6"/>
    <w:rsid w:val="003C50E3"/>
    <w:rsid w:val="003C73B0"/>
    <w:rsid w:val="003D00EE"/>
    <w:rsid w:val="003D536D"/>
    <w:rsid w:val="003D5A08"/>
    <w:rsid w:val="003D5B07"/>
    <w:rsid w:val="003D6242"/>
    <w:rsid w:val="003E2F1E"/>
    <w:rsid w:val="003E370D"/>
    <w:rsid w:val="003E56F1"/>
    <w:rsid w:val="003E58C7"/>
    <w:rsid w:val="003E7763"/>
    <w:rsid w:val="003F06DF"/>
    <w:rsid w:val="003F4C1A"/>
    <w:rsid w:val="00400842"/>
    <w:rsid w:val="0040616C"/>
    <w:rsid w:val="00411828"/>
    <w:rsid w:val="00412ECC"/>
    <w:rsid w:val="00413A6B"/>
    <w:rsid w:val="00414FE6"/>
    <w:rsid w:val="004158CD"/>
    <w:rsid w:val="00416A47"/>
    <w:rsid w:val="00422163"/>
    <w:rsid w:val="00424602"/>
    <w:rsid w:val="00426009"/>
    <w:rsid w:val="00426FC5"/>
    <w:rsid w:val="00430692"/>
    <w:rsid w:val="004329B3"/>
    <w:rsid w:val="00433D8D"/>
    <w:rsid w:val="00435353"/>
    <w:rsid w:val="00436FE0"/>
    <w:rsid w:val="004373E5"/>
    <w:rsid w:val="00440F82"/>
    <w:rsid w:val="00443CDB"/>
    <w:rsid w:val="00446026"/>
    <w:rsid w:val="00447927"/>
    <w:rsid w:val="00452C2B"/>
    <w:rsid w:val="00454BC6"/>
    <w:rsid w:val="00455E9A"/>
    <w:rsid w:val="00456557"/>
    <w:rsid w:val="00457FC7"/>
    <w:rsid w:val="00462294"/>
    <w:rsid w:val="00463693"/>
    <w:rsid w:val="004673EF"/>
    <w:rsid w:val="00476B4D"/>
    <w:rsid w:val="00481F02"/>
    <w:rsid w:val="004823FF"/>
    <w:rsid w:val="0048692A"/>
    <w:rsid w:val="00487242"/>
    <w:rsid w:val="004912A7"/>
    <w:rsid w:val="00491D94"/>
    <w:rsid w:val="00497B51"/>
    <w:rsid w:val="004A1FE8"/>
    <w:rsid w:val="004A2A78"/>
    <w:rsid w:val="004A4CF9"/>
    <w:rsid w:val="004B2ACE"/>
    <w:rsid w:val="004B603D"/>
    <w:rsid w:val="004C5A8B"/>
    <w:rsid w:val="004C5C9E"/>
    <w:rsid w:val="004C6508"/>
    <w:rsid w:val="004D41B1"/>
    <w:rsid w:val="004D6D37"/>
    <w:rsid w:val="004D6E66"/>
    <w:rsid w:val="004D72AA"/>
    <w:rsid w:val="004E28B4"/>
    <w:rsid w:val="004F153E"/>
    <w:rsid w:val="004F1EA4"/>
    <w:rsid w:val="004F305F"/>
    <w:rsid w:val="004F3218"/>
    <w:rsid w:val="004F3968"/>
    <w:rsid w:val="004F39EA"/>
    <w:rsid w:val="004F3CCF"/>
    <w:rsid w:val="004F40FA"/>
    <w:rsid w:val="004F6715"/>
    <w:rsid w:val="004F6D33"/>
    <w:rsid w:val="004F7968"/>
    <w:rsid w:val="00502E7D"/>
    <w:rsid w:val="00505419"/>
    <w:rsid w:val="005054C9"/>
    <w:rsid w:val="00506D7C"/>
    <w:rsid w:val="0050724C"/>
    <w:rsid w:val="00510C96"/>
    <w:rsid w:val="00511CBC"/>
    <w:rsid w:val="00512FED"/>
    <w:rsid w:val="0051347F"/>
    <w:rsid w:val="005135E0"/>
    <w:rsid w:val="005230BE"/>
    <w:rsid w:val="00525D47"/>
    <w:rsid w:val="00526BAE"/>
    <w:rsid w:val="005273F0"/>
    <w:rsid w:val="00527FF1"/>
    <w:rsid w:val="005300B1"/>
    <w:rsid w:val="00532410"/>
    <w:rsid w:val="00534689"/>
    <w:rsid w:val="00535E0C"/>
    <w:rsid w:val="00536D7E"/>
    <w:rsid w:val="0054288A"/>
    <w:rsid w:val="00551DE8"/>
    <w:rsid w:val="00553222"/>
    <w:rsid w:val="00553797"/>
    <w:rsid w:val="00554EAF"/>
    <w:rsid w:val="00556DB7"/>
    <w:rsid w:val="00557636"/>
    <w:rsid w:val="00557961"/>
    <w:rsid w:val="005614C5"/>
    <w:rsid w:val="00563E55"/>
    <w:rsid w:val="0056599B"/>
    <w:rsid w:val="00565D39"/>
    <w:rsid w:val="00571707"/>
    <w:rsid w:val="005747E0"/>
    <w:rsid w:val="005775AA"/>
    <w:rsid w:val="00580A6C"/>
    <w:rsid w:val="005811D8"/>
    <w:rsid w:val="00582DAD"/>
    <w:rsid w:val="0058375E"/>
    <w:rsid w:val="00583B0A"/>
    <w:rsid w:val="00585F99"/>
    <w:rsid w:val="00591769"/>
    <w:rsid w:val="00592045"/>
    <w:rsid w:val="00593EBF"/>
    <w:rsid w:val="005952A0"/>
    <w:rsid w:val="0059595C"/>
    <w:rsid w:val="005975CE"/>
    <w:rsid w:val="005976E5"/>
    <w:rsid w:val="0059778F"/>
    <w:rsid w:val="0059784D"/>
    <w:rsid w:val="005A22F0"/>
    <w:rsid w:val="005B1623"/>
    <w:rsid w:val="005C03D1"/>
    <w:rsid w:val="005C1591"/>
    <w:rsid w:val="005C3F35"/>
    <w:rsid w:val="005C6B55"/>
    <w:rsid w:val="005D56C1"/>
    <w:rsid w:val="005D5858"/>
    <w:rsid w:val="005E4485"/>
    <w:rsid w:val="005E4760"/>
    <w:rsid w:val="005E5202"/>
    <w:rsid w:val="005E5C5A"/>
    <w:rsid w:val="005E7332"/>
    <w:rsid w:val="005E77D6"/>
    <w:rsid w:val="005F134F"/>
    <w:rsid w:val="005F2A49"/>
    <w:rsid w:val="005F6607"/>
    <w:rsid w:val="005F75DE"/>
    <w:rsid w:val="0060485B"/>
    <w:rsid w:val="006065B4"/>
    <w:rsid w:val="00611009"/>
    <w:rsid w:val="006123C1"/>
    <w:rsid w:val="00612CC1"/>
    <w:rsid w:val="00613FF7"/>
    <w:rsid w:val="00616249"/>
    <w:rsid w:val="006165D9"/>
    <w:rsid w:val="00616833"/>
    <w:rsid w:val="0062524C"/>
    <w:rsid w:val="00630DFD"/>
    <w:rsid w:val="00631CE1"/>
    <w:rsid w:val="00636BDE"/>
    <w:rsid w:val="00640060"/>
    <w:rsid w:val="0064034E"/>
    <w:rsid w:val="0064621A"/>
    <w:rsid w:val="00646C67"/>
    <w:rsid w:val="00647996"/>
    <w:rsid w:val="00651252"/>
    <w:rsid w:val="00654C12"/>
    <w:rsid w:val="00655CFD"/>
    <w:rsid w:val="00656495"/>
    <w:rsid w:val="00666614"/>
    <w:rsid w:val="00666D95"/>
    <w:rsid w:val="006678EF"/>
    <w:rsid w:val="0067206E"/>
    <w:rsid w:val="00673A4C"/>
    <w:rsid w:val="00673D48"/>
    <w:rsid w:val="006756D0"/>
    <w:rsid w:val="00677507"/>
    <w:rsid w:val="00680714"/>
    <w:rsid w:val="0068190D"/>
    <w:rsid w:val="00683A1F"/>
    <w:rsid w:val="006856C6"/>
    <w:rsid w:val="006857FB"/>
    <w:rsid w:val="0068628B"/>
    <w:rsid w:val="00691416"/>
    <w:rsid w:val="00691E21"/>
    <w:rsid w:val="0069343C"/>
    <w:rsid w:val="00694729"/>
    <w:rsid w:val="006956A7"/>
    <w:rsid w:val="00695815"/>
    <w:rsid w:val="00695B14"/>
    <w:rsid w:val="00696645"/>
    <w:rsid w:val="006A2CE7"/>
    <w:rsid w:val="006A4613"/>
    <w:rsid w:val="006A6B9C"/>
    <w:rsid w:val="006A78E3"/>
    <w:rsid w:val="006B3F68"/>
    <w:rsid w:val="006B4FD7"/>
    <w:rsid w:val="006B6392"/>
    <w:rsid w:val="006B64B9"/>
    <w:rsid w:val="006C1237"/>
    <w:rsid w:val="006C1733"/>
    <w:rsid w:val="006C267C"/>
    <w:rsid w:val="006C4F66"/>
    <w:rsid w:val="006C5C11"/>
    <w:rsid w:val="006C6852"/>
    <w:rsid w:val="006C7270"/>
    <w:rsid w:val="006C7957"/>
    <w:rsid w:val="006D0DA2"/>
    <w:rsid w:val="006D0FD6"/>
    <w:rsid w:val="006D1858"/>
    <w:rsid w:val="006D2BDB"/>
    <w:rsid w:val="006D39FB"/>
    <w:rsid w:val="006D44C0"/>
    <w:rsid w:val="006D5B86"/>
    <w:rsid w:val="006D6F5B"/>
    <w:rsid w:val="006E2D90"/>
    <w:rsid w:val="006E3786"/>
    <w:rsid w:val="006E5400"/>
    <w:rsid w:val="006E6B7F"/>
    <w:rsid w:val="006F0761"/>
    <w:rsid w:val="006F283B"/>
    <w:rsid w:val="006F2B47"/>
    <w:rsid w:val="006F75D9"/>
    <w:rsid w:val="006F79D0"/>
    <w:rsid w:val="00700092"/>
    <w:rsid w:val="007002BE"/>
    <w:rsid w:val="0070071B"/>
    <w:rsid w:val="007010AB"/>
    <w:rsid w:val="00702959"/>
    <w:rsid w:val="007041AB"/>
    <w:rsid w:val="007172F3"/>
    <w:rsid w:val="00717FF1"/>
    <w:rsid w:val="0072496A"/>
    <w:rsid w:val="00726949"/>
    <w:rsid w:val="007278A0"/>
    <w:rsid w:val="007306F1"/>
    <w:rsid w:val="00734169"/>
    <w:rsid w:val="007353D2"/>
    <w:rsid w:val="00741CFC"/>
    <w:rsid w:val="00744EC5"/>
    <w:rsid w:val="00746034"/>
    <w:rsid w:val="007534F2"/>
    <w:rsid w:val="007538C5"/>
    <w:rsid w:val="00753DC7"/>
    <w:rsid w:val="00756145"/>
    <w:rsid w:val="00761A59"/>
    <w:rsid w:val="00761E8E"/>
    <w:rsid w:val="00761F81"/>
    <w:rsid w:val="00763DBA"/>
    <w:rsid w:val="00766FBF"/>
    <w:rsid w:val="00767F48"/>
    <w:rsid w:val="0077070A"/>
    <w:rsid w:val="0077341B"/>
    <w:rsid w:val="00773C3E"/>
    <w:rsid w:val="0077507A"/>
    <w:rsid w:val="00777CFA"/>
    <w:rsid w:val="00780AD9"/>
    <w:rsid w:val="00780F80"/>
    <w:rsid w:val="00781F01"/>
    <w:rsid w:val="00783210"/>
    <w:rsid w:val="007855BA"/>
    <w:rsid w:val="00786D7D"/>
    <w:rsid w:val="00787782"/>
    <w:rsid w:val="00791BC5"/>
    <w:rsid w:val="0079606D"/>
    <w:rsid w:val="007961AA"/>
    <w:rsid w:val="00797724"/>
    <w:rsid w:val="007A0F17"/>
    <w:rsid w:val="007A14FA"/>
    <w:rsid w:val="007A1CFF"/>
    <w:rsid w:val="007B0A51"/>
    <w:rsid w:val="007B1D0D"/>
    <w:rsid w:val="007B513B"/>
    <w:rsid w:val="007B62BE"/>
    <w:rsid w:val="007B67FB"/>
    <w:rsid w:val="007B7621"/>
    <w:rsid w:val="007C0B44"/>
    <w:rsid w:val="007C1AB1"/>
    <w:rsid w:val="007C515B"/>
    <w:rsid w:val="007C6172"/>
    <w:rsid w:val="007D0983"/>
    <w:rsid w:val="007D21D1"/>
    <w:rsid w:val="007D2479"/>
    <w:rsid w:val="007D291E"/>
    <w:rsid w:val="007D2DD1"/>
    <w:rsid w:val="007D2E86"/>
    <w:rsid w:val="007D5A02"/>
    <w:rsid w:val="007E40A5"/>
    <w:rsid w:val="007E4EDD"/>
    <w:rsid w:val="007E64E3"/>
    <w:rsid w:val="007E6A55"/>
    <w:rsid w:val="007F14D5"/>
    <w:rsid w:val="007F22D8"/>
    <w:rsid w:val="007F297B"/>
    <w:rsid w:val="007F2C7C"/>
    <w:rsid w:val="007F423E"/>
    <w:rsid w:val="007F5F41"/>
    <w:rsid w:val="007F63E7"/>
    <w:rsid w:val="007F6B7F"/>
    <w:rsid w:val="00800FE4"/>
    <w:rsid w:val="00805D2C"/>
    <w:rsid w:val="00807B16"/>
    <w:rsid w:val="00812BAC"/>
    <w:rsid w:val="00813956"/>
    <w:rsid w:val="008172C1"/>
    <w:rsid w:val="0082219C"/>
    <w:rsid w:val="0082233B"/>
    <w:rsid w:val="008229E7"/>
    <w:rsid w:val="00822A21"/>
    <w:rsid w:val="00824696"/>
    <w:rsid w:val="00825D11"/>
    <w:rsid w:val="00830430"/>
    <w:rsid w:val="008313AE"/>
    <w:rsid w:val="00831D5C"/>
    <w:rsid w:val="00832935"/>
    <w:rsid w:val="00833583"/>
    <w:rsid w:val="008515B3"/>
    <w:rsid w:val="008539A2"/>
    <w:rsid w:val="0085639A"/>
    <w:rsid w:val="00860BB6"/>
    <w:rsid w:val="008638C0"/>
    <w:rsid w:val="00864003"/>
    <w:rsid w:val="00864EE3"/>
    <w:rsid w:val="00866BFA"/>
    <w:rsid w:val="00867B34"/>
    <w:rsid w:val="00870ABD"/>
    <w:rsid w:val="00874CE8"/>
    <w:rsid w:val="00874F9A"/>
    <w:rsid w:val="00875503"/>
    <w:rsid w:val="0087586A"/>
    <w:rsid w:val="00880C77"/>
    <w:rsid w:val="0088400F"/>
    <w:rsid w:val="008840CB"/>
    <w:rsid w:val="00887D7F"/>
    <w:rsid w:val="0089038E"/>
    <w:rsid w:val="008906B6"/>
    <w:rsid w:val="00890AF8"/>
    <w:rsid w:val="00897111"/>
    <w:rsid w:val="008A2E1F"/>
    <w:rsid w:val="008A6461"/>
    <w:rsid w:val="008A66A5"/>
    <w:rsid w:val="008A6A6D"/>
    <w:rsid w:val="008A6E43"/>
    <w:rsid w:val="008A707E"/>
    <w:rsid w:val="008B0204"/>
    <w:rsid w:val="008B0466"/>
    <w:rsid w:val="008B1D87"/>
    <w:rsid w:val="008C073B"/>
    <w:rsid w:val="008C2B4C"/>
    <w:rsid w:val="008C35EC"/>
    <w:rsid w:val="008C37FD"/>
    <w:rsid w:val="008C4859"/>
    <w:rsid w:val="008C4A04"/>
    <w:rsid w:val="008D609C"/>
    <w:rsid w:val="008D6C30"/>
    <w:rsid w:val="008E06AD"/>
    <w:rsid w:val="008E16FA"/>
    <w:rsid w:val="008E234A"/>
    <w:rsid w:val="008E2C55"/>
    <w:rsid w:val="008E442A"/>
    <w:rsid w:val="008E7D6D"/>
    <w:rsid w:val="008F0225"/>
    <w:rsid w:val="008F1E13"/>
    <w:rsid w:val="008F6501"/>
    <w:rsid w:val="008F6A63"/>
    <w:rsid w:val="008F72D1"/>
    <w:rsid w:val="008F792B"/>
    <w:rsid w:val="00900327"/>
    <w:rsid w:val="009006E6"/>
    <w:rsid w:val="00900DA3"/>
    <w:rsid w:val="009024F2"/>
    <w:rsid w:val="00902F39"/>
    <w:rsid w:val="00907C89"/>
    <w:rsid w:val="009102F3"/>
    <w:rsid w:val="009129E2"/>
    <w:rsid w:val="00912E6C"/>
    <w:rsid w:val="00920ED1"/>
    <w:rsid w:val="009213D7"/>
    <w:rsid w:val="00923480"/>
    <w:rsid w:val="009361B8"/>
    <w:rsid w:val="00941DD8"/>
    <w:rsid w:val="00942A69"/>
    <w:rsid w:val="0094497B"/>
    <w:rsid w:val="00944BAA"/>
    <w:rsid w:val="00945D6D"/>
    <w:rsid w:val="009633A7"/>
    <w:rsid w:val="00963D6E"/>
    <w:rsid w:val="00964ECD"/>
    <w:rsid w:val="009670CD"/>
    <w:rsid w:val="00967B9A"/>
    <w:rsid w:val="00974243"/>
    <w:rsid w:val="00977309"/>
    <w:rsid w:val="00985EFD"/>
    <w:rsid w:val="0098708D"/>
    <w:rsid w:val="0099183E"/>
    <w:rsid w:val="00991C92"/>
    <w:rsid w:val="00992A75"/>
    <w:rsid w:val="00992C22"/>
    <w:rsid w:val="009936DC"/>
    <w:rsid w:val="0099387E"/>
    <w:rsid w:val="0099591A"/>
    <w:rsid w:val="00995B5F"/>
    <w:rsid w:val="00996F33"/>
    <w:rsid w:val="009A03A5"/>
    <w:rsid w:val="009A1587"/>
    <w:rsid w:val="009A2F3F"/>
    <w:rsid w:val="009A3C08"/>
    <w:rsid w:val="009A406E"/>
    <w:rsid w:val="009A444A"/>
    <w:rsid w:val="009A63DE"/>
    <w:rsid w:val="009A6795"/>
    <w:rsid w:val="009A7B61"/>
    <w:rsid w:val="009B1DAD"/>
    <w:rsid w:val="009B3646"/>
    <w:rsid w:val="009B4757"/>
    <w:rsid w:val="009C0161"/>
    <w:rsid w:val="009C215C"/>
    <w:rsid w:val="009C21A0"/>
    <w:rsid w:val="009C4841"/>
    <w:rsid w:val="009C5A52"/>
    <w:rsid w:val="009E38CE"/>
    <w:rsid w:val="009E4C68"/>
    <w:rsid w:val="009E7821"/>
    <w:rsid w:val="009F3499"/>
    <w:rsid w:val="009F3B08"/>
    <w:rsid w:val="009F6437"/>
    <w:rsid w:val="009F65DC"/>
    <w:rsid w:val="009F6B3C"/>
    <w:rsid w:val="00A05A32"/>
    <w:rsid w:val="00A05E72"/>
    <w:rsid w:val="00A10E18"/>
    <w:rsid w:val="00A116F9"/>
    <w:rsid w:val="00A16BE7"/>
    <w:rsid w:val="00A232B9"/>
    <w:rsid w:val="00A2750F"/>
    <w:rsid w:val="00A35B72"/>
    <w:rsid w:val="00A3608D"/>
    <w:rsid w:val="00A36313"/>
    <w:rsid w:val="00A36515"/>
    <w:rsid w:val="00A3745C"/>
    <w:rsid w:val="00A3789A"/>
    <w:rsid w:val="00A40622"/>
    <w:rsid w:val="00A4170C"/>
    <w:rsid w:val="00A45903"/>
    <w:rsid w:val="00A510B3"/>
    <w:rsid w:val="00A51130"/>
    <w:rsid w:val="00A5179D"/>
    <w:rsid w:val="00A52C04"/>
    <w:rsid w:val="00A573AE"/>
    <w:rsid w:val="00A575EB"/>
    <w:rsid w:val="00A61C8A"/>
    <w:rsid w:val="00A634CB"/>
    <w:rsid w:val="00A65F81"/>
    <w:rsid w:val="00A714EE"/>
    <w:rsid w:val="00A72706"/>
    <w:rsid w:val="00A73161"/>
    <w:rsid w:val="00A77925"/>
    <w:rsid w:val="00A77AD4"/>
    <w:rsid w:val="00A77B11"/>
    <w:rsid w:val="00A81009"/>
    <w:rsid w:val="00A8129B"/>
    <w:rsid w:val="00A82639"/>
    <w:rsid w:val="00A84B11"/>
    <w:rsid w:val="00A84B42"/>
    <w:rsid w:val="00A85ED6"/>
    <w:rsid w:val="00A86ACB"/>
    <w:rsid w:val="00A91951"/>
    <w:rsid w:val="00A93DCC"/>
    <w:rsid w:val="00AA1B42"/>
    <w:rsid w:val="00AA273F"/>
    <w:rsid w:val="00AA4582"/>
    <w:rsid w:val="00AA677E"/>
    <w:rsid w:val="00AA69C5"/>
    <w:rsid w:val="00AA6EDF"/>
    <w:rsid w:val="00AA7E3E"/>
    <w:rsid w:val="00AB0FCA"/>
    <w:rsid w:val="00AB2322"/>
    <w:rsid w:val="00AB361E"/>
    <w:rsid w:val="00AB4B96"/>
    <w:rsid w:val="00AB75FB"/>
    <w:rsid w:val="00AC4CEE"/>
    <w:rsid w:val="00AD1434"/>
    <w:rsid w:val="00AD5132"/>
    <w:rsid w:val="00AD57DF"/>
    <w:rsid w:val="00AD5A37"/>
    <w:rsid w:val="00AE22E3"/>
    <w:rsid w:val="00AE4C41"/>
    <w:rsid w:val="00AF269E"/>
    <w:rsid w:val="00AF26B5"/>
    <w:rsid w:val="00AF29F4"/>
    <w:rsid w:val="00B006A9"/>
    <w:rsid w:val="00B07A45"/>
    <w:rsid w:val="00B10D7C"/>
    <w:rsid w:val="00B11AE2"/>
    <w:rsid w:val="00B12721"/>
    <w:rsid w:val="00B13CCB"/>
    <w:rsid w:val="00B1468E"/>
    <w:rsid w:val="00B15E17"/>
    <w:rsid w:val="00B22D15"/>
    <w:rsid w:val="00B2516C"/>
    <w:rsid w:val="00B2598B"/>
    <w:rsid w:val="00B30301"/>
    <w:rsid w:val="00B31009"/>
    <w:rsid w:val="00B31367"/>
    <w:rsid w:val="00B31E64"/>
    <w:rsid w:val="00B334CE"/>
    <w:rsid w:val="00B3605F"/>
    <w:rsid w:val="00B40408"/>
    <w:rsid w:val="00B41792"/>
    <w:rsid w:val="00B4389A"/>
    <w:rsid w:val="00B4529C"/>
    <w:rsid w:val="00B463EB"/>
    <w:rsid w:val="00B50239"/>
    <w:rsid w:val="00B50CD7"/>
    <w:rsid w:val="00B510CD"/>
    <w:rsid w:val="00B51C80"/>
    <w:rsid w:val="00B51D62"/>
    <w:rsid w:val="00B53AEC"/>
    <w:rsid w:val="00B55ED7"/>
    <w:rsid w:val="00B644EC"/>
    <w:rsid w:val="00B64992"/>
    <w:rsid w:val="00B6538D"/>
    <w:rsid w:val="00B677AF"/>
    <w:rsid w:val="00B736DF"/>
    <w:rsid w:val="00B840E2"/>
    <w:rsid w:val="00B8434C"/>
    <w:rsid w:val="00B84C39"/>
    <w:rsid w:val="00B85416"/>
    <w:rsid w:val="00B91E12"/>
    <w:rsid w:val="00B92197"/>
    <w:rsid w:val="00B928B4"/>
    <w:rsid w:val="00B96434"/>
    <w:rsid w:val="00B96FBD"/>
    <w:rsid w:val="00B97632"/>
    <w:rsid w:val="00BA01C1"/>
    <w:rsid w:val="00BA38A4"/>
    <w:rsid w:val="00BA3984"/>
    <w:rsid w:val="00BA5772"/>
    <w:rsid w:val="00BB022D"/>
    <w:rsid w:val="00BB0A11"/>
    <w:rsid w:val="00BB13AB"/>
    <w:rsid w:val="00BB4533"/>
    <w:rsid w:val="00BC03BA"/>
    <w:rsid w:val="00BC0577"/>
    <w:rsid w:val="00BC3A69"/>
    <w:rsid w:val="00BC3B29"/>
    <w:rsid w:val="00BC6AF5"/>
    <w:rsid w:val="00BD1AA2"/>
    <w:rsid w:val="00BD5CB8"/>
    <w:rsid w:val="00BD6C01"/>
    <w:rsid w:val="00BE455C"/>
    <w:rsid w:val="00BF0290"/>
    <w:rsid w:val="00BF070D"/>
    <w:rsid w:val="00BF21F4"/>
    <w:rsid w:val="00BF31CA"/>
    <w:rsid w:val="00C00858"/>
    <w:rsid w:val="00C02B9B"/>
    <w:rsid w:val="00C048B4"/>
    <w:rsid w:val="00C076AF"/>
    <w:rsid w:val="00C1084A"/>
    <w:rsid w:val="00C12AC0"/>
    <w:rsid w:val="00C1328A"/>
    <w:rsid w:val="00C134A2"/>
    <w:rsid w:val="00C14318"/>
    <w:rsid w:val="00C149AB"/>
    <w:rsid w:val="00C1626C"/>
    <w:rsid w:val="00C222F3"/>
    <w:rsid w:val="00C23F5D"/>
    <w:rsid w:val="00C25021"/>
    <w:rsid w:val="00C25129"/>
    <w:rsid w:val="00C305DB"/>
    <w:rsid w:val="00C31E84"/>
    <w:rsid w:val="00C3209C"/>
    <w:rsid w:val="00C34CE7"/>
    <w:rsid w:val="00C3674F"/>
    <w:rsid w:val="00C375B2"/>
    <w:rsid w:val="00C42374"/>
    <w:rsid w:val="00C42D8F"/>
    <w:rsid w:val="00C44A45"/>
    <w:rsid w:val="00C44B87"/>
    <w:rsid w:val="00C50D0C"/>
    <w:rsid w:val="00C51738"/>
    <w:rsid w:val="00C51D9D"/>
    <w:rsid w:val="00C527C9"/>
    <w:rsid w:val="00C55D17"/>
    <w:rsid w:val="00C62DC6"/>
    <w:rsid w:val="00C64DF0"/>
    <w:rsid w:val="00C662F9"/>
    <w:rsid w:val="00C66D81"/>
    <w:rsid w:val="00C72FB7"/>
    <w:rsid w:val="00C75749"/>
    <w:rsid w:val="00C75AF7"/>
    <w:rsid w:val="00C8002F"/>
    <w:rsid w:val="00C8305F"/>
    <w:rsid w:val="00C8619D"/>
    <w:rsid w:val="00C87D2A"/>
    <w:rsid w:val="00C905E4"/>
    <w:rsid w:val="00C90748"/>
    <w:rsid w:val="00C94DA3"/>
    <w:rsid w:val="00C97E33"/>
    <w:rsid w:val="00CA0841"/>
    <w:rsid w:val="00CA4986"/>
    <w:rsid w:val="00CB219A"/>
    <w:rsid w:val="00CB3F3E"/>
    <w:rsid w:val="00CB6025"/>
    <w:rsid w:val="00CB6F93"/>
    <w:rsid w:val="00CC0F45"/>
    <w:rsid w:val="00CC2731"/>
    <w:rsid w:val="00CC3855"/>
    <w:rsid w:val="00CC7643"/>
    <w:rsid w:val="00CD486F"/>
    <w:rsid w:val="00CE1941"/>
    <w:rsid w:val="00CE4179"/>
    <w:rsid w:val="00CE4EFF"/>
    <w:rsid w:val="00CF1B17"/>
    <w:rsid w:val="00CF2F49"/>
    <w:rsid w:val="00CF7044"/>
    <w:rsid w:val="00CF731C"/>
    <w:rsid w:val="00CF797F"/>
    <w:rsid w:val="00D01BC2"/>
    <w:rsid w:val="00D01F6C"/>
    <w:rsid w:val="00D04F8C"/>
    <w:rsid w:val="00D07540"/>
    <w:rsid w:val="00D07F9B"/>
    <w:rsid w:val="00D1194C"/>
    <w:rsid w:val="00D128DB"/>
    <w:rsid w:val="00D1296E"/>
    <w:rsid w:val="00D13CC3"/>
    <w:rsid w:val="00D14FC5"/>
    <w:rsid w:val="00D15B67"/>
    <w:rsid w:val="00D167F6"/>
    <w:rsid w:val="00D24EAD"/>
    <w:rsid w:val="00D2618C"/>
    <w:rsid w:val="00D275DA"/>
    <w:rsid w:val="00D3088A"/>
    <w:rsid w:val="00D31CEB"/>
    <w:rsid w:val="00D377F1"/>
    <w:rsid w:val="00D42A21"/>
    <w:rsid w:val="00D42D04"/>
    <w:rsid w:val="00D43833"/>
    <w:rsid w:val="00D44734"/>
    <w:rsid w:val="00D44C1F"/>
    <w:rsid w:val="00D45D5B"/>
    <w:rsid w:val="00D4758B"/>
    <w:rsid w:val="00D477E9"/>
    <w:rsid w:val="00D52F58"/>
    <w:rsid w:val="00D53D5E"/>
    <w:rsid w:val="00D543F1"/>
    <w:rsid w:val="00D54D92"/>
    <w:rsid w:val="00D57377"/>
    <w:rsid w:val="00D6645A"/>
    <w:rsid w:val="00D666D9"/>
    <w:rsid w:val="00D723F1"/>
    <w:rsid w:val="00D72E4F"/>
    <w:rsid w:val="00D7461E"/>
    <w:rsid w:val="00D848FA"/>
    <w:rsid w:val="00D84B8C"/>
    <w:rsid w:val="00D919AE"/>
    <w:rsid w:val="00D929B4"/>
    <w:rsid w:val="00D92C56"/>
    <w:rsid w:val="00D93064"/>
    <w:rsid w:val="00D95E4C"/>
    <w:rsid w:val="00D97ACA"/>
    <w:rsid w:val="00DA2A17"/>
    <w:rsid w:val="00DA5166"/>
    <w:rsid w:val="00DA79B9"/>
    <w:rsid w:val="00DB168C"/>
    <w:rsid w:val="00DB3A79"/>
    <w:rsid w:val="00DB4491"/>
    <w:rsid w:val="00DB4D8D"/>
    <w:rsid w:val="00DB58C3"/>
    <w:rsid w:val="00DB682D"/>
    <w:rsid w:val="00DB7418"/>
    <w:rsid w:val="00DC053C"/>
    <w:rsid w:val="00DC0C74"/>
    <w:rsid w:val="00DC3C15"/>
    <w:rsid w:val="00DC6137"/>
    <w:rsid w:val="00DD1B3B"/>
    <w:rsid w:val="00DD1DED"/>
    <w:rsid w:val="00DD2DDD"/>
    <w:rsid w:val="00DD31D0"/>
    <w:rsid w:val="00DD337D"/>
    <w:rsid w:val="00DD5684"/>
    <w:rsid w:val="00DE1B65"/>
    <w:rsid w:val="00DE33CB"/>
    <w:rsid w:val="00DE778B"/>
    <w:rsid w:val="00DF106D"/>
    <w:rsid w:val="00DF1D97"/>
    <w:rsid w:val="00DF236A"/>
    <w:rsid w:val="00DF2E44"/>
    <w:rsid w:val="00DF36C6"/>
    <w:rsid w:val="00DF37BC"/>
    <w:rsid w:val="00DF3E7C"/>
    <w:rsid w:val="00DF4173"/>
    <w:rsid w:val="00DF5977"/>
    <w:rsid w:val="00DF6A46"/>
    <w:rsid w:val="00DF7591"/>
    <w:rsid w:val="00E019FE"/>
    <w:rsid w:val="00E0554B"/>
    <w:rsid w:val="00E06E16"/>
    <w:rsid w:val="00E14798"/>
    <w:rsid w:val="00E166B7"/>
    <w:rsid w:val="00E1780B"/>
    <w:rsid w:val="00E213F4"/>
    <w:rsid w:val="00E24BFF"/>
    <w:rsid w:val="00E32359"/>
    <w:rsid w:val="00E33FBB"/>
    <w:rsid w:val="00E34CEE"/>
    <w:rsid w:val="00E361B6"/>
    <w:rsid w:val="00E363B0"/>
    <w:rsid w:val="00E37022"/>
    <w:rsid w:val="00E3765A"/>
    <w:rsid w:val="00E376A7"/>
    <w:rsid w:val="00E42DC6"/>
    <w:rsid w:val="00E512B0"/>
    <w:rsid w:val="00E53143"/>
    <w:rsid w:val="00E542F1"/>
    <w:rsid w:val="00E546D5"/>
    <w:rsid w:val="00E60741"/>
    <w:rsid w:val="00E66207"/>
    <w:rsid w:val="00E71E67"/>
    <w:rsid w:val="00E83126"/>
    <w:rsid w:val="00E8694A"/>
    <w:rsid w:val="00E90A79"/>
    <w:rsid w:val="00E90BC8"/>
    <w:rsid w:val="00E92A0C"/>
    <w:rsid w:val="00E93C71"/>
    <w:rsid w:val="00E9415E"/>
    <w:rsid w:val="00E95217"/>
    <w:rsid w:val="00E96CB0"/>
    <w:rsid w:val="00EA0B12"/>
    <w:rsid w:val="00EA0C38"/>
    <w:rsid w:val="00EA302A"/>
    <w:rsid w:val="00EA3CA8"/>
    <w:rsid w:val="00EA6BFE"/>
    <w:rsid w:val="00EA6DA2"/>
    <w:rsid w:val="00EA6DA8"/>
    <w:rsid w:val="00EB2381"/>
    <w:rsid w:val="00EB7329"/>
    <w:rsid w:val="00EB7502"/>
    <w:rsid w:val="00EB7E2B"/>
    <w:rsid w:val="00EB7EB7"/>
    <w:rsid w:val="00EC255D"/>
    <w:rsid w:val="00EC3FA1"/>
    <w:rsid w:val="00EC51E0"/>
    <w:rsid w:val="00EC6181"/>
    <w:rsid w:val="00ED0E81"/>
    <w:rsid w:val="00ED13AB"/>
    <w:rsid w:val="00ED26DE"/>
    <w:rsid w:val="00ED304E"/>
    <w:rsid w:val="00ED35DD"/>
    <w:rsid w:val="00EE0BEB"/>
    <w:rsid w:val="00EE39EB"/>
    <w:rsid w:val="00EE55EE"/>
    <w:rsid w:val="00EF0F20"/>
    <w:rsid w:val="00EF40F7"/>
    <w:rsid w:val="00EF4414"/>
    <w:rsid w:val="00EF7641"/>
    <w:rsid w:val="00F02755"/>
    <w:rsid w:val="00F07D08"/>
    <w:rsid w:val="00F1164B"/>
    <w:rsid w:val="00F119A9"/>
    <w:rsid w:val="00F12C4F"/>
    <w:rsid w:val="00F130FC"/>
    <w:rsid w:val="00F17588"/>
    <w:rsid w:val="00F31FA3"/>
    <w:rsid w:val="00F338CB"/>
    <w:rsid w:val="00F40112"/>
    <w:rsid w:val="00F40DBA"/>
    <w:rsid w:val="00F426D3"/>
    <w:rsid w:val="00F45392"/>
    <w:rsid w:val="00F45E6C"/>
    <w:rsid w:val="00F5159F"/>
    <w:rsid w:val="00F60A3C"/>
    <w:rsid w:val="00F60E09"/>
    <w:rsid w:val="00F61DDC"/>
    <w:rsid w:val="00F6265C"/>
    <w:rsid w:val="00F66B2D"/>
    <w:rsid w:val="00F673A6"/>
    <w:rsid w:val="00F67EF5"/>
    <w:rsid w:val="00F723C7"/>
    <w:rsid w:val="00F75A42"/>
    <w:rsid w:val="00F80B4F"/>
    <w:rsid w:val="00F8331D"/>
    <w:rsid w:val="00F842A5"/>
    <w:rsid w:val="00F8519D"/>
    <w:rsid w:val="00F8582A"/>
    <w:rsid w:val="00F85A23"/>
    <w:rsid w:val="00F90BCC"/>
    <w:rsid w:val="00F91670"/>
    <w:rsid w:val="00F968A4"/>
    <w:rsid w:val="00FA372D"/>
    <w:rsid w:val="00FA3EC4"/>
    <w:rsid w:val="00FA4043"/>
    <w:rsid w:val="00FB2742"/>
    <w:rsid w:val="00FB279F"/>
    <w:rsid w:val="00FB6DA5"/>
    <w:rsid w:val="00FB7E6F"/>
    <w:rsid w:val="00FC0138"/>
    <w:rsid w:val="00FC23BF"/>
    <w:rsid w:val="00FC28EA"/>
    <w:rsid w:val="00FC42C9"/>
    <w:rsid w:val="00FC4526"/>
    <w:rsid w:val="00FC4554"/>
    <w:rsid w:val="00FC773F"/>
    <w:rsid w:val="00FC7F73"/>
    <w:rsid w:val="00FD2A55"/>
    <w:rsid w:val="00FD2CAA"/>
    <w:rsid w:val="00FD5081"/>
    <w:rsid w:val="00FE09A9"/>
    <w:rsid w:val="00FE10ED"/>
    <w:rsid w:val="00FE23A0"/>
    <w:rsid w:val="00FE6723"/>
    <w:rsid w:val="00FF0DFB"/>
    <w:rsid w:val="00FF3155"/>
    <w:rsid w:val="00FF422A"/>
    <w:rsid w:val="00FF699C"/>
    <w:rsid w:val="00FF7458"/>
    <w:rsid w:val="04747079"/>
    <w:rsid w:val="05570E7F"/>
    <w:rsid w:val="07FE6F33"/>
    <w:rsid w:val="0B3F7627"/>
    <w:rsid w:val="0BBF2EC3"/>
    <w:rsid w:val="0C38106F"/>
    <w:rsid w:val="0EEE67CC"/>
    <w:rsid w:val="0F523EFD"/>
    <w:rsid w:val="0FD005F5"/>
    <w:rsid w:val="10857908"/>
    <w:rsid w:val="13897465"/>
    <w:rsid w:val="144A3FAC"/>
    <w:rsid w:val="150575BA"/>
    <w:rsid w:val="1662468B"/>
    <w:rsid w:val="16F15783"/>
    <w:rsid w:val="177EE036"/>
    <w:rsid w:val="18556F38"/>
    <w:rsid w:val="19AC3850"/>
    <w:rsid w:val="19FD3EB2"/>
    <w:rsid w:val="1A067E64"/>
    <w:rsid w:val="1A2E0E0C"/>
    <w:rsid w:val="1D575F09"/>
    <w:rsid w:val="1E0C4782"/>
    <w:rsid w:val="1FAF520E"/>
    <w:rsid w:val="1FBD683B"/>
    <w:rsid w:val="230839D8"/>
    <w:rsid w:val="23142351"/>
    <w:rsid w:val="25076DA8"/>
    <w:rsid w:val="28716869"/>
    <w:rsid w:val="2A406165"/>
    <w:rsid w:val="2B4F1FE5"/>
    <w:rsid w:val="2BB95176"/>
    <w:rsid w:val="2D124EC6"/>
    <w:rsid w:val="2DB64608"/>
    <w:rsid w:val="2DFF2F19"/>
    <w:rsid w:val="2DFFA110"/>
    <w:rsid w:val="2F3B1F21"/>
    <w:rsid w:val="2F7FB615"/>
    <w:rsid w:val="2FF6D3EC"/>
    <w:rsid w:val="312C7524"/>
    <w:rsid w:val="31364226"/>
    <w:rsid w:val="315260D4"/>
    <w:rsid w:val="31FD4735"/>
    <w:rsid w:val="332A2046"/>
    <w:rsid w:val="337F0D54"/>
    <w:rsid w:val="33BB9129"/>
    <w:rsid w:val="360D07F6"/>
    <w:rsid w:val="365D7CBC"/>
    <w:rsid w:val="36FD705E"/>
    <w:rsid w:val="36FDF41F"/>
    <w:rsid w:val="36FFBA7C"/>
    <w:rsid w:val="370301E9"/>
    <w:rsid w:val="397BE689"/>
    <w:rsid w:val="39CF2AC9"/>
    <w:rsid w:val="3B7321DA"/>
    <w:rsid w:val="3BAE4F58"/>
    <w:rsid w:val="3BDE2D7B"/>
    <w:rsid w:val="3C496037"/>
    <w:rsid w:val="3CFC8C2A"/>
    <w:rsid w:val="3D638D81"/>
    <w:rsid w:val="3D7FEB41"/>
    <w:rsid w:val="3D9DBB23"/>
    <w:rsid w:val="3DDB2A78"/>
    <w:rsid w:val="3DF99DF8"/>
    <w:rsid w:val="3E2505AE"/>
    <w:rsid w:val="3E4816AC"/>
    <w:rsid w:val="3E5B2308"/>
    <w:rsid w:val="3E7FCF18"/>
    <w:rsid w:val="3EAF954D"/>
    <w:rsid w:val="3F67984A"/>
    <w:rsid w:val="3F774B7D"/>
    <w:rsid w:val="3F8904D1"/>
    <w:rsid w:val="3FD64942"/>
    <w:rsid w:val="3FDA5F2B"/>
    <w:rsid w:val="428D72ED"/>
    <w:rsid w:val="430A673F"/>
    <w:rsid w:val="44671CA5"/>
    <w:rsid w:val="469FF3AA"/>
    <w:rsid w:val="4868316C"/>
    <w:rsid w:val="48CE3822"/>
    <w:rsid w:val="4A57762F"/>
    <w:rsid w:val="4A8F4B09"/>
    <w:rsid w:val="4AF17450"/>
    <w:rsid w:val="4BC25466"/>
    <w:rsid w:val="4BDD2F8F"/>
    <w:rsid w:val="4DF02CD1"/>
    <w:rsid w:val="4E1F46AA"/>
    <w:rsid w:val="4E525813"/>
    <w:rsid w:val="4EBB1118"/>
    <w:rsid w:val="4F3E1EC2"/>
    <w:rsid w:val="4F67AF75"/>
    <w:rsid w:val="4FB97CF5"/>
    <w:rsid w:val="517E2A6B"/>
    <w:rsid w:val="550C165F"/>
    <w:rsid w:val="55A34166"/>
    <w:rsid w:val="55D54F7E"/>
    <w:rsid w:val="55F112F7"/>
    <w:rsid w:val="56704F06"/>
    <w:rsid w:val="577FE953"/>
    <w:rsid w:val="59AD3709"/>
    <w:rsid w:val="5A1E52B8"/>
    <w:rsid w:val="5B4AFBA9"/>
    <w:rsid w:val="5BDC7671"/>
    <w:rsid w:val="5BED6339"/>
    <w:rsid w:val="5C8A17CD"/>
    <w:rsid w:val="5CEB3D29"/>
    <w:rsid w:val="5D2B1018"/>
    <w:rsid w:val="5D432A41"/>
    <w:rsid w:val="5DAB4CE9"/>
    <w:rsid w:val="5DDBCFA8"/>
    <w:rsid w:val="5E4E3EB2"/>
    <w:rsid w:val="5EAF6295"/>
    <w:rsid w:val="5EDA0E5A"/>
    <w:rsid w:val="5F471867"/>
    <w:rsid w:val="5F583E95"/>
    <w:rsid w:val="5F7B48FB"/>
    <w:rsid w:val="5F7F2160"/>
    <w:rsid w:val="5FB8A1A5"/>
    <w:rsid w:val="5FBF7728"/>
    <w:rsid w:val="5FDAD84E"/>
    <w:rsid w:val="62031561"/>
    <w:rsid w:val="6266177A"/>
    <w:rsid w:val="63EFE464"/>
    <w:rsid w:val="65793A30"/>
    <w:rsid w:val="66BF44A7"/>
    <w:rsid w:val="679BB429"/>
    <w:rsid w:val="67B50F2D"/>
    <w:rsid w:val="67C902CB"/>
    <w:rsid w:val="67FD6F3E"/>
    <w:rsid w:val="689F1CB9"/>
    <w:rsid w:val="68E7388F"/>
    <w:rsid w:val="69E365B0"/>
    <w:rsid w:val="6A9D35CF"/>
    <w:rsid w:val="6B1C1DDC"/>
    <w:rsid w:val="6B7824F8"/>
    <w:rsid w:val="6BFF0177"/>
    <w:rsid w:val="6C8D12E0"/>
    <w:rsid w:val="6CEDC296"/>
    <w:rsid w:val="6DFF1502"/>
    <w:rsid w:val="6E7B6CD1"/>
    <w:rsid w:val="6E7D8EC6"/>
    <w:rsid w:val="6F5554C8"/>
    <w:rsid w:val="6F6CC43B"/>
    <w:rsid w:val="6FAC8303"/>
    <w:rsid w:val="6FB6B01C"/>
    <w:rsid w:val="6FBB0D55"/>
    <w:rsid w:val="6FBFAF8F"/>
    <w:rsid w:val="6FC40814"/>
    <w:rsid w:val="6FDD1182"/>
    <w:rsid w:val="6FDDEBE9"/>
    <w:rsid w:val="6FFB11E5"/>
    <w:rsid w:val="6FFB599C"/>
    <w:rsid w:val="712B07FD"/>
    <w:rsid w:val="71A00F5C"/>
    <w:rsid w:val="71BB198C"/>
    <w:rsid w:val="71C617BB"/>
    <w:rsid w:val="71DFD5C4"/>
    <w:rsid w:val="71FD534B"/>
    <w:rsid w:val="72FF13BF"/>
    <w:rsid w:val="739E228D"/>
    <w:rsid w:val="73B0290A"/>
    <w:rsid w:val="75BAEEDB"/>
    <w:rsid w:val="75DB14D9"/>
    <w:rsid w:val="761F84B3"/>
    <w:rsid w:val="778E310C"/>
    <w:rsid w:val="77A7487D"/>
    <w:rsid w:val="77BBEAE3"/>
    <w:rsid w:val="77BFD8FE"/>
    <w:rsid w:val="77EF2445"/>
    <w:rsid w:val="77F7C7A5"/>
    <w:rsid w:val="787FC1C4"/>
    <w:rsid w:val="79A77AB9"/>
    <w:rsid w:val="79B6D5FF"/>
    <w:rsid w:val="79CE7629"/>
    <w:rsid w:val="7A2218E1"/>
    <w:rsid w:val="7A777AB2"/>
    <w:rsid w:val="7ADF53E2"/>
    <w:rsid w:val="7B5FAA6D"/>
    <w:rsid w:val="7B776F80"/>
    <w:rsid w:val="7B779D75"/>
    <w:rsid w:val="7B9F6501"/>
    <w:rsid w:val="7B9FBE11"/>
    <w:rsid w:val="7BB512FB"/>
    <w:rsid w:val="7BDEA3AA"/>
    <w:rsid w:val="7BEA2559"/>
    <w:rsid w:val="7BF5B06A"/>
    <w:rsid w:val="7BFF3607"/>
    <w:rsid w:val="7BFF37A5"/>
    <w:rsid w:val="7C6D4DC0"/>
    <w:rsid w:val="7D2554A7"/>
    <w:rsid w:val="7D79CE1E"/>
    <w:rsid w:val="7D9640D2"/>
    <w:rsid w:val="7DEDB51C"/>
    <w:rsid w:val="7DF7C360"/>
    <w:rsid w:val="7DFE436B"/>
    <w:rsid w:val="7DFE5320"/>
    <w:rsid w:val="7E9F56CF"/>
    <w:rsid w:val="7EBA7487"/>
    <w:rsid w:val="7ECC623E"/>
    <w:rsid w:val="7EFBDB04"/>
    <w:rsid w:val="7F3EA623"/>
    <w:rsid w:val="7F3FBB95"/>
    <w:rsid w:val="7F6D6B30"/>
    <w:rsid w:val="7F6FC362"/>
    <w:rsid w:val="7F752357"/>
    <w:rsid w:val="7F7FD10E"/>
    <w:rsid w:val="7FAB27F1"/>
    <w:rsid w:val="7FAFFD85"/>
    <w:rsid w:val="7FBA25EA"/>
    <w:rsid w:val="7FBDD960"/>
    <w:rsid w:val="7FCF5D30"/>
    <w:rsid w:val="7FDB07E1"/>
    <w:rsid w:val="7FDB560F"/>
    <w:rsid w:val="7FDFA004"/>
    <w:rsid w:val="7FEE0D78"/>
    <w:rsid w:val="7FF3FE76"/>
    <w:rsid w:val="7FF512C4"/>
    <w:rsid w:val="7FF67477"/>
    <w:rsid w:val="7FF73323"/>
    <w:rsid w:val="7FFE04FF"/>
    <w:rsid w:val="7FFE245C"/>
    <w:rsid w:val="7FFE5232"/>
    <w:rsid w:val="7FFF8EDD"/>
    <w:rsid w:val="7FFFD770"/>
    <w:rsid w:val="95EE9198"/>
    <w:rsid w:val="97EBC269"/>
    <w:rsid w:val="9D7A8B2A"/>
    <w:rsid w:val="9E3F5034"/>
    <w:rsid w:val="9E6FA14C"/>
    <w:rsid w:val="9F7D4C61"/>
    <w:rsid w:val="9FDF81D8"/>
    <w:rsid w:val="9FFDE3D8"/>
    <w:rsid w:val="9FFFEA1B"/>
    <w:rsid w:val="A5FD6C27"/>
    <w:rsid w:val="A7DE650A"/>
    <w:rsid w:val="A82BC759"/>
    <w:rsid w:val="A89DF5F5"/>
    <w:rsid w:val="AAFF5377"/>
    <w:rsid w:val="AB7FB198"/>
    <w:rsid w:val="AF936A92"/>
    <w:rsid w:val="AFBB07B3"/>
    <w:rsid w:val="AFBF6B68"/>
    <w:rsid w:val="AFC7E46C"/>
    <w:rsid w:val="B2FF3311"/>
    <w:rsid w:val="B3F71A41"/>
    <w:rsid w:val="B5CB9806"/>
    <w:rsid w:val="B5EF29ED"/>
    <w:rsid w:val="B725CE05"/>
    <w:rsid w:val="B7AFFCEE"/>
    <w:rsid w:val="B7DBEBE3"/>
    <w:rsid w:val="B9FB1AC1"/>
    <w:rsid w:val="BBAA95A5"/>
    <w:rsid w:val="BBE74128"/>
    <w:rsid w:val="BBFEC902"/>
    <w:rsid w:val="BC6A2839"/>
    <w:rsid w:val="BDCF5F6C"/>
    <w:rsid w:val="BDFD4F0C"/>
    <w:rsid w:val="BEDA7A65"/>
    <w:rsid w:val="BF577BB5"/>
    <w:rsid w:val="BF6F6B03"/>
    <w:rsid w:val="BFBD6254"/>
    <w:rsid w:val="BFCE14AE"/>
    <w:rsid w:val="BFD33760"/>
    <w:rsid w:val="BFDD4D1D"/>
    <w:rsid w:val="BFE4B3E1"/>
    <w:rsid w:val="BFF7D059"/>
    <w:rsid w:val="BFF92825"/>
    <w:rsid w:val="BFFD0E02"/>
    <w:rsid w:val="BFFFFC14"/>
    <w:rsid w:val="C523F85D"/>
    <w:rsid w:val="C8FB89C7"/>
    <w:rsid w:val="CAEB2F3B"/>
    <w:rsid w:val="CEBFF46F"/>
    <w:rsid w:val="CF4BCF74"/>
    <w:rsid w:val="CFE72AD8"/>
    <w:rsid w:val="CFF9A69A"/>
    <w:rsid w:val="D397A84E"/>
    <w:rsid w:val="D3CD3751"/>
    <w:rsid w:val="D3FB37A3"/>
    <w:rsid w:val="D4FF6059"/>
    <w:rsid w:val="D7FF8ACA"/>
    <w:rsid w:val="D96AE041"/>
    <w:rsid w:val="DDFF906C"/>
    <w:rsid w:val="DE8EEAF2"/>
    <w:rsid w:val="DEDFBBCA"/>
    <w:rsid w:val="DF17A5AC"/>
    <w:rsid w:val="DF9C6EE6"/>
    <w:rsid w:val="DFBFE785"/>
    <w:rsid w:val="DFCF9FFC"/>
    <w:rsid w:val="DFD3BED6"/>
    <w:rsid w:val="DFFB5D04"/>
    <w:rsid w:val="DFFFAA2D"/>
    <w:rsid w:val="E16E8E55"/>
    <w:rsid w:val="E6557863"/>
    <w:rsid w:val="E7197FD9"/>
    <w:rsid w:val="E77F4108"/>
    <w:rsid w:val="E77FEB48"/>
    <w:rsid w:val="E7DFF2A6"/>
    <w:rsid w:val="E7EFF66E"/>
    <w:rsid w:val="E99F69CE"/>
    <w:rsid w:val="E9BFA188"/>
    <w:rsid w:val="EAF356E7"/>
    <w:rsid w:val="EB739828"/>
    <w:rsid w:val="EB9DB53D"/>
    <w:rsid w:val="EDBED587"/>
    <w:rsid w:val="EDDFB53C"/>
    <w:rsid w:val="EEFD24C7"/>
    <w:rsid w:val="EF6FCECB"/>
    <w:rsid w:val="EF9D5A4E"/>
    <w:rsid w:val="EFB4E582"/>
    <w:rsid w:val="EFB69F7D"/>
    <w:rsid w:val="EFB717F3"/>
    <w:rsid w:val="EFE7B13A"/>
    <w:rsid w:val="EFE7F9A8"/>
    <w:rsid w:val="EFEFCD98"/>
    <w:rsid w:val="EFF68DF0"/>
    <w:rsid w:val="EFFC788D"/>
    <w:rsid w:val="F1F92F12"/>
    <w:rsid w:val="F1FF5266"/>
    <w:rsid w:val="F2E55948"/>
    <w:rsid w:val="F5E38F33"/>
    <w:rsid w:val="F5EB2B8F"/>
    <w:rsid w:val="F65F2326"/>
    <w:rsid w:val="F6A61AFF"/>
    <w:rsid w:val="F77BF3FA"/>
    <w:rsid w:val="F77ED32A"/>
    <w:rsid w:val="F7EA0B1D"/>
    <w:rsid w:val="F7F7D2A2"/>
    <w:rsid w:val="F9BDFEB4"/>
    <w:rsid w:val="F9F94C6A"/>
    <w:rsid w:val="FA7E160C"/>
    <w:rsid w:val="FABFA252"/>
    <w:rsid w:val="FADEA337"/>
    <w:rsid w:val="FAFD2EA6"/>
    <w:rsid w:val="FB3F8884"/>
    <w:rsid w:val="FBEE29FD"/>
    <w:rsid w:val="FBF7EC8F"/>
    <w:rsid w:val="FBFB37CD"/>
    <w:rsid w:val="FBFD70B1"/>
    <w:rsid w:val="FBFF406D"/>
    <w:rsid w:val="FCBF2F68"/>
    <w:rsid w:val="FCFBC902"/>
    <w:rsid w:val="FCFF23ED"/>
    <w:rsid w:val="FD1F747D"/>
    <w:rsid w:val="FD3F090C"/>
    <w:rsid w:val="FDAE9510"/>
    <w:rsid w:val="FDE749EF"/>
    <w:rsid w:val="FDFD6FC0"/>
    <w:rsid w:val="FDFFEDD7"/>
    <w:rsid w:val="FEE77860"/>
    <w:rsid w:val="FEEB623E"/>
    <w:rsid w:val="FEEDDE03"/>
    <w:rsid w:val="FF1701FA"/>
    <w:rsid w:val="FF5FE78D"/>
    <w:rsid w:val="FF7604E9"/>
    <w:rsid w:val="FF7C73CA"/>
    <w:rsid w:val="FF8FC12A"/>
    <w:rsid w:val="FF9E6D40"/>
    <w:rsid w:val="FFAFB551"/>
    <w:rsid w:val="FFBF39CD"/>
    <w:rsid w:val="FFBF9EE8"/>
    <w:rsid w:val="FFDDFD53"/>
    <w:rsid w:val="FFE68C90"/>
    <w:rsid w:val="FFEE2088"/>
    <w:rsid w:val="FFF69A8D"/>
    <w:rsid w:val="FFF7FB62"/>
    <w:rsid w:val="FFFB8252"/>
    <w:rsid w:val="FFFE38EB"/>
    <w:rsid w:val="FFFF0810"/>
    <w:rsid w:val="FFFFA1A6"/>
    <w:rsid w:val="FFFFF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spacing w:line="240" w:lineRule="auto"/>
      <w:ind w:firstLine="630" w:firstLineChars="200"/>
      <w:jc w:val="both"/>
    </w:pPr>
    <w:rPr>
      <w:rFonts w:ascii="Times New Roman" w:hAnsi="Times New Roman" w:eastAsia="仿宋_GB2312" w:cs="Times New Roman"/>
      <w:kern w:val="2"/>
      <w:sz w:val="32"/>
      <w:lang w:val="en-US" w:eastAsia="zh-CN" w:bidi="ar-SA"/>
    </w:rPr>
  </w:style>
  <w:style w:type="paragraph" w:styleId="3">
    <w:name w:val="heading 1"/>
    <w:basedOn w:val="1"/>
    <w:next w:val="1"/>
    <w:qFormat/>
    <w:uiPriority w:val="9"/>
    <w:pPr>
      <w:keepNext/>
      <w:keepLines/>
      <w:spacing w:line="324" w:lineRule="auto"/>
      <w:outlineLvl w:val="0"/>
    </w:pPr>
    <w:rPr>
      <w:rFonts w:eastAsia="黑体"/>
      <w:b/>
      <w:bCs/>
      <w:kern w:val="44"/>
      <w:szCs w:val="44"/>
    </w:rPr>
  </w:style>
  <w:style w:type="paragraph" w:styleId="4">
    <w:name w:val="heading 2"/>
    <w:basedOn w:val="1"/>
    <w:next w:val="1"/>
    <w:link w:val="26"/>
    <w:unhideWhenUsed/>
    <w:qFormat/>
    <w:uiPriority w:val="0"/>
    <w:pPr>
      <w:keepNext/>
      <w:keepLines/>
      <w:spacing w:before="40"/>
      <w:outlineLvl w:val="1"/>
    </w:pPr>
    <w:rPr>
      <w:rFonts w:asciiTheme="majorHAnsi" w:hAnsiTheme="majorHAnsi" w:eastAsiaTheme="majorEastAsia" w:cstheme="majorBidi"/>
      <w:color w:val="2E75B6" w:themeColor="accent1" w:themeShade="BF"/>
      <w:sz w:val="26"/>
      <w:szCs w:val="26"/>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5">
    <w:name w:val="Body Text Indent"/>
    <w:basedOn w:val="1"/>
    <w:unhideWhenUsed/>
    <w:qFormat/>
    <w:uiPriority w:val="99"/>
    <w:pPr>
      <w:spacing w:after="120"/>
      <w:ind w:left="420" w:leftChars="200"/>
    </w:pPr>
  </w:style>
  <w:style w:type="paragraph" w:styleId="6">
    <w:name w:val="Balloon Text"/>
    <w:basedOn w:val="1"/>
    <w:link w:val="28"/>
    <w:qFormat/>
    <w:uiPriority w:val="0"/>
    <w:pPr>
      <w:spacing w:line="240" w:lineRule="auto"/>
    </w:pPr>
    <w:rPr>
      <w:sz w:val="18"/>
      <w:szCs w:val="18"/>
    </w:rPr>
  </w:style>
  <w:style w:type="paragraph" w:styleId="7">
    <w:name w:val="footer"/>
    <w:basedOn w:val="1"/>
    <w:qFormat/>
    <w:uiPriority w:val="0"/>
    <w:pPr>
      <w:tabs>
        <w:tab w:val="center" w:pos="4153"/>
        <w:tab w:val="right" w:pos="8306"/>
      </w:tabs>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qFormat/>
    <w:uiPriority w:val="0"/>
    <w:pPr>
      <w:snapToGrid/>
      <w:spacing w:beforeAutospacing="1" w:afterAutospacing="1" w:line="240" w:lineRule="auto"/>
      <w:jc w:val="left"/>
    </w:pPr>
    <w:rPr>
      <w:rFonts w:asciiTheme="minorHAnsi" w:hAnsiTheme="minorHAnsi" w:eastAsiaTheme="minorEastAsia"/>
      <w:kern w:val="0"/>
      <w:sz w:val="24"/>
      <w:szCs w:val="24"/>
    </w:rPr>
  </w:style>
  <w:style w:type="paragraph" w:styleId="12">
    <w:name w:val="Body Text First Indent 2"/>
    <w:basedOn w:val="5"/>
    <w:unhideWhenUsed/>
    <w:qFormat/>
    <w:uiPriority w:val="0"/>
    <w:pPr>
      <w:ind w:firstLine="420" w:firstLineChars="200"/>
    </w:pPr>
  </w:style>
  <w:style w:type="table" w:styleId="14">
    <w:name w:val="Table Grid"/>
    <w:basedOn w:val="1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rPr>
      <w:rFonts w:ascii="Times New Roman" w:hAnsi="Times New Roman" w:eastAsia="宋体"/>
      <w:sz w:val="24"/>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paragraph" w:customStyle="1" w:styleId="18">
    <w:name w:val="_Style 1"/>
    <w:basedOn w:val="1"/>
    <w:qFormat/>
    <w:uiPriority w:val="0"/>
    <w:pPr>
      <w:snapToGrid/>
      <w:spacing w:line="240" w:lineRule="auto"/>
      <w:ind w:firstLine="420" w:firstLineChars="200"/>
    </w:pPr>
    <w:rPr>
      <w:rFonts w:eastAsia="宋体"/>
      <w:sz w:val="21"/>
    </w:rPr>
  </w:style>
  <w:style w:type="character" w:customStyle="1" w:styleId="19">
    <w:name w:val="font71"/>
    <w:qFormat/>
    <w:uiPriority w:val="0"/>
    <w:rPr>
      <w:rFonts w:hint="eastAsia" w:ascii="宋体" w:hAnsi="宋体" w:eastAsia="宋体" w:cs="宋体"/>
      <w:color w:val="000000"/>
      <w:sz w:val="21"/>
      <w:szCs w:val="21"/>
      <w:u w:val="none"/>
    </w:rPr>
  </w:style>
  <w:style w:type="character" w:customStyle="1" w:styleId="20">
    <w:name w:val="font11"/>
    <w:qFormat/>
    <w:uiPriority w:val="0"/>
    <w:rPr>
      <w:rFonts w:ascii="Calibri" w:hAnsi="Calibri" w:cs="Calibri"/>
      <w:color w:val="000000"/>
      <w:sz w:val="21"/>
      <w:szCs w:val="21"/>
      <w:u w:val="none"/>
    </w:rPr>
  </w:style>
  <w:style w:type="character" w:customStyle="1" w:styleId="21">
    <w:name w:val="font21"/>
    <w:qFormat/>
    <w:uiPriority w:val="0"/>
    <w:rPr>
      <w:rFonts w:hint="eastAsia" w:ascii="宋体" w:hAnsi="宋体" w:eastAsia="宋体" w:cs="宋体"/>
      <w:color w:val="000000"/>
      <w:sz w:val="22"/>
      <w:szCs w:val="22"/>
      <w:u w:val="none"/>
    </w:rPr>
  </w:style>
  <w:style w:type="character" w:customStyle="1" w:styleId="22">
    <w:name w:val="font01"/>
    <w:qFormat/>
    <w:uiPriority w:val="0"/>
    <w:rPr>
      <w:rFonts w:hint="eastAsia" w:ascii="宋体" w:hAnsi="宋体" w:eastAsia="宋体" w:cs="宋体"/>
      <w:color w:val="000000"/>
      <w:sz w:val="21"/>
      <w:szCs w:val="21"/>
      <w:u w:val="none"/>
    </w:rPr>
  </w:style>
  <w:style w:type="character" w:customStyle="1" w:styleId="23">
    <w:name w:val="font91"/>
    <w:qFormat/>
    <w:uiPriority w:val="0"/>
    <w:rPr>
      <w:rFonts w:hint="default" w:ascii="Calibri" w:hAnsi="Calibri" w:cs="Calibri"/>
      <w:color w:val="000000"/>
      <w:sz w:val="21"/>
      <w:szCs w:val="21"/>
      <w:u w:val="none"/>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
    <w:name w:val="标题 2 字符"/>
    <w:basedOn w:val="15"/>
    <w:link w:val="4"/>
    <w:qFormat/>
    <w:uiPriority w:val="0"/>
    <w:rPr>
      <w:rFonts w:asciiTheme="majorHAnsi" w:hAnsiTheme="majorHAnsi" w:eastAsiaTheme="majorEastAsia" w:cstheme="majorBidi"/>
      <w:color w:val="2E75B6" w:themeColor="accent1" w:themeShade="BF"/>
      <w:kern w:val="2"/>
      <w:sz w:val="26"/>
      <w:szCs w:val="26"/>
    </w:rPr>
  </w:style>
  <w:style w:type="paragraph" w:customStyle="1" w:styleId="27">
    <w:name w:val="List Paragraph1"/>
    <w:basedOn w:val="1"/>
    <w:qFormat/>
    <w:uiPriority w:val="34"/>
    <w:pPr>
      <w:ind w:left="720"/>
      <w:contextualSpacing/>
    </w:pPr>
  </w:style>
  <w:style w:type="character" w:customStyle="1" w:styleId="28">
    <w:name w:val="批注框文本 字符"/>
    <w:basedOn w:val="15"/>
    <w:link w:val="6"/>
    <w:qFormat/>
    <w:uiPriority w:val="0"/>
    <w:rPr>
      <w:rFonts w:ascii="Times New Roman" w:hAnsi="Times New Roman" w:eastAsia="仿宋_GB2312" w:cs="Times New Roman"/>
      <w:kern w:val="2"/>
      <w:sz w:val="18"/>
      <w:szCs w:val="18"/>
    </w:rPr>
  </w:style>
  <w:style w:type="paragraph" w:customStyle="1" w:styleId="29">
    <w:name w:val="Revision1"/>
    <w:hidden/>
    <w:semiHidden/>
    <w:qFormat/>
    <w:uiPriority w:val="99"/>
    <w:rPr>
      <w:rFonts w:ascii="Times New Roman" w:hAnsi="Times New Roman" w:eastAsia="仿宋_GB2312" w:cs="Times New Roman"/>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Boston University</Company>
  <Pages>21</Pages>
  <Words>1553</Words>
  <Characters>8856</Characters>
  <Lines>73</Lines>
  <Paragraphs>20</Paragraphs>
  <TotalTime>4</TotalTime>
  <ScaleCrop>false</ScaleCrop>
  <LinksUpToDate>false</LinksUpToDate>
  <CharactersWithSpaces>10389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2020-08-26T16:25:00Z</dcterms:created>
  <dc:creator>Fannie</dc:creator>
  <cp:lastModifiedBy>-</cp:lastModifiedBy>
  <cp:lastPrinted>2020-08-20T01:30:00Z</cp:lastPrinted>
  <dcterms:modified xsi:type="dcterms:W3CDTF">2020-11-10T00:41:58Z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